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DB" w:rsidRDefault="00D515DB" w:rsidP="00D515DB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70103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339"/>
        <w:gridCol w:w="3467"/>
        <w:gridCol w:w="315"/>
      </w:tblGrid>
      <w:tr w:rsidR="00D515DB" w:rsidTr="00D515DB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515DB" w:rsidRDefault="00D515DB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D515DB" w:rsidRDefault="00D515DB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D515DB" w:rsidRDefault="00D515DB"/>
        </w:tc>
        <w:tc>
          <w:tcPr>
            <w:tcW w:w="0" w:type="auto"/>
            <w:vAlign w:val="center"/>
            <w:hideMark/>
          </w:tcPr>
          <w:p w:rsidR="00D515DB" w:rsidRDefault="00D515D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D515DB" w:rsidRDefault="00D515DB"/>
        </w:tc>
      </w:tr>
      <w:tr w:rsidR="00D515DB" w:rsidTr="00D515DB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515DB" w:rsidRDefault="00D515D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D515DB" w:rsidRDefault="00D515DB" w:rsidP="00D515DB">
            <w:hyperlink r:id="rId4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D515DB" w:rsidRDefault="00D515DB" w:rsidP="00D515DB">
            <w:r>
              <w:t> </w:t>
            </w:r>
          </w:p>
          <w:p w:rsidR="00D515DB" w:rsidRDefault="00D515DB" w:rsidP="00D515DB">
            <w:r>
              <w:rPr>
                <w:rFonts w:ascii="Arial" w:hAnsi="Arial" w:cs="Arial"/>
                <w:color w:val="006666"/>
              </w:rPr>
              <w:t>Poll No. 22</w:t>
            </w:r>
          </w:p>
          <w:p w:rsidR="00D515DB" w:rsidRDefault="00D515DB" w:rsidP="00D515DB">
            <w:pPr>
              <w:pStyle w:val="Heading9"/>
              <w:jc w:val="center"/>
            </w:pPr>
            <w:r w:rsidRPr="00D515DB">
              <w:rPr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Withdrawal from Gaza, President’s Performance, Legislative Elections</w:t>
            </w:r>
          </w:p>
          <w:p w:rsidR="00D515DB" w:rsidRDefault="00D515DB"/>
          <w:p w:rsidR="00D515DB" w:rsidRDefault="00D515D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] </w:t>
            </w:r>
          </w:p>
          <w:p w:rsidR="00D515DB" w:rsidRDefault="00D515DB">
            <w:r>
              <w:pict>
                <v:rect id="_x0000_i1028" style="width:378pt;height:1.5pt" o:hrpct="750" o:hralign="center" o:hrstd="t" o:hr="t" fillcolor="#a0a0a0" stroked="f"/>
              </w:pict>
            </w:r>
          </w:p>
          <w:p w:rsidR="00D515DB" w:rsidRDefault="00D515DB">
            <w:pPr>
              <w:pStyle w:val="Heading7"/>
              <w:jc w:val="lowKashida"/>
            </w:pPr>
            <w:r>
              <w:rPr>
                <w:sz w:val="32"/>
                <w:szCs w:val="32"/>
                <w:u w:val="single"/>
              </w:rPr>
              <w:t xml:space="preserve">Annex 2: Sample distribution 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277"/>
              <w:gridCol w:w="1485"/>
              <w:gridCol w:w="1175"/>
              <w:gridCol w:w="1676"/>
              <w:gridCol w:w="1051"/>
            </w:tblGrid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62.0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42.3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40.7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38.0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39.5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59.3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17.3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6.5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20.2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51.4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21.3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Tulkarm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48.6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31.2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10.2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16.7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Qalqilya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4.9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Salfit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23.7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70.9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Place of 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7.4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Other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8.6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19.4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92.6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16.6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16.5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7.4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13.8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13.6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11.8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4.2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proofErr w:type="spellStart"/>
                  <w:r>
                    <w:t>Deir</w:t>
                  </w:r>
                  <w:proofErr w:type="spellEnd"/>
                  <w:r>
                    <w:t xml:space="preserve"> al-</w:t>
                  </w:r>
                  <w:proofErr w:type="spellStart"/>
                  <w:r>
                    <w:t>Balah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9.7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28.5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Khan </w:t>
                  </w:r>
                  <w:proofErr w:type="spellStart"/>
                  <w:r>
                    <w:t>Younis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6.9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701-1000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19.3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18.4</w:t>
                  </w:r>
                </w:p>
              </w:tc>
            </w:tr>
            <w:tr w:rsidR="00D515DB">
              <w:trPr>
                <w:cantSplit/>
                <w:trHeight w:val="98"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Reasons for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16.6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15.4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lastRenderedPageBreak/>
                    <w:t>unemployment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Statue of work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</w:pPr>
                  <w:r>
                    <w:t>7.0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59.0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Working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30.8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701-1000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19.3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Students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11.2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Not working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69.2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6203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Seeking to work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23.4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15DB" w:rsidRDefault="00D515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Others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1.4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15DB" w:rsidRDefault="00D515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15DB">
              <w:trPr>
                <w:cantSplit/>
                <w:jc w:val="right"/>
              </w:trPr>
              <w:tc>
                <w:tcPr>
                  <w:tcW w:w="354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5DB" w:rsidRDefault="00D515DB">
                  <w:pPr>
                    <w:spacing w:before="100" w:beforeAutospacing="1" w:after="100" w:afterAutospacing="1"/>
                    <w:jc w:val="lowKashida"/>
                  </w:pPr>
                  <w:r>
                    <w:t>1 $ = 4.55 NIS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15DB" w:rsidRDefault="00D515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15DB" w:rsidRDefault="00D515DB">
            <w:r>
              <w:rPr>
                <w:rFonts w:ascii="Arial" w:hAnsi="Arial" w:cs="Arial"/>
              </w:rPr>
              <w:t>  </w:t>
            </w:r>
          </w:p>
          <w:p w:rsidR="00D515DB" w:rsidRDefault="00D515DB">
            <w:pPr>
              <w:pStyle w:val="NormalWeb"/>
            </w:pPr>
            <w:hyperlink r:id="rId10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D515DB" w:rsidRDefault="00D515DB">
            <w:r>
              <w:lastRenderedPageBreak/>
              <w:t> </w:t>
            </w:r>
          </w:p>
        </w:tc>
      </w:tr>
      <w:tr w:rsidR="00D515DB" w:rsidTr="00D515DB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515DB" w:rsidRDefault="00D515DB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D515DB" w:rsidRDefault="00D515DB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D515DB" w:rsidRDefault="00D515DB"/>
        </w:tc>
        <w:tc>
          <w:tcPr>
            <w:tcW w:w="0" w:type="auto"/>
            <w:vAlign w:val="center"/>
            <w:hideMark/>
          </w:tcPr>
          <w:p w:rsidR="00D515DB" w:rsidRDefault="00D515D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D515DB" w:rsidRDefault="00D515DB"/>
        </w:tc>
      </w:tr>
    </w:tbl>
    <w:p w:rsidR="005971A4" w:rsidRPr="00D515DB" w:rsidRDefault="005971A4" w:rsidP="00D515DB">
      <w:bookmarkStart w:id="1" w:name="_GoBack"/>
      <w:bookmarkEnd w:id="1"/>
    </w:p>
    <w:sectPr w:rsidR="005971A4" w:rsidRPr="00D5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222F0D"/>
    <w:rsid w:val="003C7AC0"/>
    <w:rsid w:val="005971A4"/>
    <w:rsid w:val="00B12642"/>
    <w:rsid w:val="00D515DB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5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2/poll22eng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2/sampl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2/result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cds/opinionpolls/poll22/analysis.html" TargetMode="External"/><Relationship Id="rId10" Type="http://schemas.openxmlformats.org/officeDocument/2006/relationships/hyperlink" Target="http://home.birzeit.edu/cds/opinionpolls/poll22/sample.html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arabic/opinionpolls/poll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2019-03-05T12:50:00Z</dcterms:created>
  <dcterms:modified xsi:type="dcterms:W3CDTF">2019-03-05T13:01:00Z</dcterms:modified>
</cp:coreProperties>
</file>