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7C" w:rsidRDefault="003F357C" w:rsidP="003F357C">
      <w:pPr>
        <w:jc w:val="center"/>
      </w:pPr>
      <w:bookmarkStart w:id="0" w:name="top"/>
      <w:bookmarkEnd w:id="0"/>
      <w:r>
        <w:rPr>
          <w:noProof/>
        </w:rPr>
        <mc:AlternateContent>
          <mc:Choice Requires="wps">
            <w:drawing>
              <wp:inline distT="0" distB="0" distL="0" distR="0">
                <wp:extent cx="6143625" cy="857250"/>
                <wp:effectExtent l="0" t="0" r="0" b="0"/>
                <wp:docPr id="3" name="Rectangle 3"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295C4" id="Rectangle 3"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" filled="f" stroked="f">
                <o:lock v:ext="edit" aspectratio="t"/>
                <w10:anchorlock/>
              </v:rect>
            </w:pict>
          </mc:Fallback>
        </mc:AlternateContent>
      </w:r>
    </w:p>
    <w:tbl>
      <w:tblPr>
        <w:tblW w:w="10245" w:type="dxa"/>
        <w:jc w:val="center"/>
        <w:tblCellSpacing w:w="0" w:type="dxa"/>
        <w:tblCellMar>
          <w:left w:w="0" w:type="dxa"/>
          <w:right w:w="0" w:type="dxa"/>
        </w:tblCellMar>
        <w:tblLook w:val="04A0" w:firstRow="1" w:lastRow="0" w:firstColumn="1" w:lastColumn="0" w:noHBand="0" w:noVBand="1"/>
      </w:tblPr>
      <w:tblGrid>
        <w:gridCol w:w="50"/>
        <w:gridCol w:w="3340"/>
        <w:gridCol w:w="2035"/>
        <w:gridCol w:w="5041"/>
        <w:gridCol w:w="6"/>
      </w:tblGrid>
      <w:tr w:rsidR="003F357C" w:rsidTr="003F357C">
        <w:trPr>
          <w:trHeight w:val="345"/>
          <w:tblCellSpacing w:w="0" w:type="dxa"/>
          <w:jc w:val="center"/>
        </w:trPr>
        <w:tc>
          <w:tcPr>
            <w:tcW w:w="300" w:type="dxa"/>
            <w:vAlign w:val="center"/>
            <w:hideMark/>
          </w:tcPr>
          <w:p w:rsidR="003F357C" w:rsidRDefault="003F357C">
            <w:r>
              <w:t> </w:t>
            </w:r>
          </w:p>
        </w:tc>
        <w:tc>
          <w:tcPr>
            <w:tcW w:w="3060" w:type="dxa"/>
            <w:vAlign w:val="center"/>
            <w:hideMark/>
          </w:tcPr>
          <w:p w:rsidR="003F357C" w:rsidRDefault="003F357C">
            <w:r>
              <w:t>   </w:t>
            </w:r>
          </w:p>
        </w:tc>
        <w:tc>
          <w:tcPr>
            <w:tcW w:w="1950" w:type="dxa"/>
            <w:vAlign w:val="center"/>
            <w:hideMark/>
          </w:tcPr>
          <w:p w:rsidR="003F357C" w:rsidRDefault="003F357C"/>
        </w:tc>
        <w:tc>
          <w:tcPr>
            <w:tcW w:w="4695" w:type="dxa"/>
            <w:vAlign w:val="center"/>
            <w:hideMark/>
          </w:tcPr>
          <w:p w:rsidR="003F357C" w:rsidRDefault="003F357C">
            <w:pPr>
              <w:rPr>
                <w:sz w:val="24"/>
                <w:szCs w:val="24"/>
              </w:rPr>
            </w:pPr>
            <w:r>
              <w:t>   </w:t>
            </w:r>
          </w:p>
        </w:tc>
        <w:tc>
          <w:tcPr>
            <w:tcW w:w="240" w:type="dxa"/>
            <w:vAlign w:val="center"/>
            <w:hideMark/>
          </w:tcPr>
          <w:p w:rsidR="003F357C" w:rsidRDefault="003F357C"/>
        </w:tc>
      </w:tr>
      <w:tr w:rsidR="003F357C" w:rsidTr="003F357C">
        <w:trPr>
          <w:tblCellSpacing w:w="0" w:type="dxa"/>
          <w:jc w:val="center"/>
        </w:trPr>
        <w:tc>
          <w:tcPr>
            <w:tcW w:w="300" w:type="dxa"/>
            <w:vAlign w:val="center"/>
            <w:hideMark/>
          </w:tcPr>
          <w:p w:rsidR="003F357C" w:rsidRDefault="003F357C">
            <w:pPr>
              <w:rPr>
                <w:sz w:val="24"/>
                <w:szCs w:val="24"/>
              </w:rPr>
            </w:pPr>
            <w:r>
              <w:t> </w:t>
            </w:r>
          </w:p>
        </w:tc>
        <w:tc>
          <w:tcPr>
            <w:tcW w:w="9705" w:type="dxa"/>
            <w:gridSpan w:val="3"/>
            <w:hideMark/>
          </w:tcPr>
          <w:p w:rsidR="003F357C" w:rsidRDefault="003F357C" w:rsidP="003F357C">
            <w:hyperlink r:id="rId5" w:history="1">
              <w:r>
                <w:rPr>
                  <w:rStyle w:val="Hyperlink"/>
                </w:rPr>
                <w:t>Opinion Polls</w:t>
              </w:r>
            </w:hyperlink>
          </w:p>
          <w:p w:rsidR="003F357C" w:rsidRDefault="003F357C" w:rsidP="003F357C">
            <w:r>
              <w:t>oll No. 20, Part 2</w:t>
            </w:r>
          </w:p>
          <w:p w:rsidR="003F357C" w:rsidRDefault="003F357C" w:rsidP="003F357C">
            <w:pPr>
              <w:pStyle w:val="NormalWeb"/>
            </w:pPr>
          </w:p>
          <w:p w:rsidR="003F357C" w:rsidRDefault="003F357C" w:rsidP="003F357C">
            <w:pPr>
              <w:pStyle w:val="NormalWeb"/>
              <w:jc w:val="center"/>
            </w:pPr>
            <w:r>
              <w:rPr>
                <w:b/>
                <w:bCs/>
                <w:u w:val="single"/>
                <w:lang w:val="en-GB"/>
              </w:rPr>
              <w:t>Increase in Support for Negotiations; Support for Fateh on the Rise</w:t>
            </w:r>
            <w:r>
              <w:rPr>
                <w:b/>
                <w:bCs/>
                <w:sz w:val="28"/>
                <w:szCs w:val="28"/>
                <w:u w:val="single"/>
                <w:lang w:val="en-GB"/>
              </w:rPr>
              <w:t xml:space="preserve"> </w:t>
            </w:r>
          </w:p>
          <w:p w:rsidR="003F357C" w:rsidRDefault="003F357C" w:rsidP="003F357C">
            <w:pPr>
              <w:pStyle w:val="NormalWeb"/>
            </w:pPr>
            <w:r>
              <w:t> </w:t>
            </w:r>
          </w:p>
          <w:p w:rsidR="003F357C" w:rsidRDefault="003F357C"/>
          <w:p w:rsidR="003F357C" w:rsidRDefault="003F357C">
            <w:pPr>
              <w:jc w:val="center"/>
            </w:pPr>
            <w:r>
              <w:rPr>
                <w:b/>
                <w:bCs/>
              </w:rPr>
              <w:t xml:space="preserve">[ </w:t>
            </w:r>
            <w:hyperlink r:id="rId6" w:history="1">
              <w:r>
                <w:rPr>
                  <w:rStyle w:val="Hyperlink"/>
                  <w:b/>
                  <w:bCs/>
                </w:rPr>
                <w:t>Analysis of Results</w:t>
              </w:r>
            </w:hyperlink>
            <w:r>
              <w:rPr>
                <w:b/>
                <w:bCs/>
              </w:rPr>
              <w:t xml:space="preserve"> ] [ Detailed Results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3F357C" w:rsidRDefault="003F357C"/>
          <w:tbl>
            <w:tblPr>
              <w:tblW w:w="10395" w:type="dxa"/>
              <w:tblCellMar>
                <w:left w:w="0" w:type="dxa"/>
                <w:right w:w="0" w:type="dxa"/>
              </w:tblCellMar>
              <w:tblLook w:val="04A0" w:firstRow="1" w:lastRow="0" w:firstColumn="1" w:lastColumn="0" w:noHBand="0" w:noVBand="1"/>
            </w:tblPr>
            <w:tblGrid>
              <w:gridCol w:w="4307"/>
              <w:gridCol w:w="15"/>
              <w:gridCol w:w="1766"/>
              <w:gridCol w:w="45"/>
              <w:gridCol w:w="1975"/>
              <w:gridCol w:w="74"/>
              <w:gridCol w:w="2213"/>
            </w:tblGrid>
            <w:tr w:rsidR="003F357C">
              <w:trPr>
                <w:cantSplit/>
                <w:trHeight w:val="345"/>
              </w:trPr>
              <w:tc>
                <w:tcPr>
                  <w:tcW w:w="4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rPr>
                      <w:rFonts w:hint="cs"/>
                      <w:b/>
                      <w:bCs/>
                      <w:rtl/>
                    </w:rPr>
                    <w:t> </w:t>
                  </w:r>
                </w:p>
              </w:tc>
              <w:tc>
                <w:tcPr>
                  <w:tcW w:w="15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7C" w:rsidRDefault="003F357C">
                  <w:pPr>
                    <w:ind w:right="-2"/>
                  </w:pPr>
                  <w:r>
                    <w:rPr>
                      <w:b/>
                      <w:bCs/>
                      <w:sz w:val="20"/>
                      <w:szCs w:val="20"/>
                    </w:rPr>
                    <w:t>Total %</w:t>
                  </w:r>
                </w:p>
              </w:tc>
              <w:tc>
                <w:tcPr>
                  <w:tcW w:w="18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7C" w:rsidRDefault="003F357C">
                  <w:pPr>
                    <w:ind w:right="-2"/>
                    <w:jc w:val="lowKashida"/>
                  </w:pPr>
                  <w:r>
                    <w:rPr>
                      <w:b/>
                      <w:bCs/>
                      <w:sz w:val="20"/>
                      <w:szCs w:val="20"/>
                    </w:rPr>
                    <w:t>West Bank %</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57C" w:rsidRDefault="003F357C">
                  <w:pPr>
                    <w:ind w:right="-2"/>
                    <w:jc w:val="lowKashida"/>
                  </w:pPr>
                  <w:r>
                    <w:rPr>
                      <w:b/>
                      <w:bCs/>
                      <w:sz w:val="20"/>
                      <w:szCs w:val="20"/>
                    </w:rPr>
                    <w:t>Gaza Strip %</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3F357C" w:rsidRDefault="003F357C">
                  <w:pPr>
                    <w:ind w:left="765" w:right="-2"/>
                    <w:jc w:val="lowKashida"/>
                  </w:pPr>
                  <w:r>
                    <w:rPr>
                      <w:b/>
                      <w:bCs/>
                      <w:i/>
                      <w:iCs/>
                    </w:rPr>
                    <w:t>Section One: Living Condition</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rPr>
                      <w:b/>
                      <w:bCs/>
                    </w:rPr>
                    <w:t>1.</w:t>
                  </w:r>
                  <w:r>
                    <w:t xml:space="preserve">           </w:t>
                  </w:r>
                  <w:r>
                    <w:rPr>
                      <w:b/>
                      <w:bCs/>
                    </w:rPr>
                    <w:t> At the present time, how do you evaluate your family's economic conditions?</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Very good</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3.1</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2.2</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Good</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13.2</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14.6</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10.9</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Fair</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43.1</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43.5</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42.5</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Bad</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25.4</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24.4</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27.0</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5) Very bad</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15.5</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14.5</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17.4</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rPr>
                      <w:b/>
                      <w:bCs/>
                    </w:rPr>
                    <w:t>2.</w:t>
                  </w:r>
                  <w:r>
                    <w:t xml:space="preserve">           </w:t>
                  </w:r>
                  <w:r>
                    <w:rPr>
                      <w:b/>
                      <w:bCs/>
                    </w:rPr>
                    <w:t xml:space="preserve">Monthly income per household (NIS; $1 = 4.5 NIS). </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No Income</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6.9</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5.2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9.8</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Less than 700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31.3</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28.2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36.3</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700-1000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19.0</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19.7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17.9</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1001-1700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20.0</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19.6</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20.6</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5) 1701-2500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14.1</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17.3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8.9</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6) 2501-3000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4.4</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5.4</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2.9</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7) More than 3000</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4.3</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4.7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ascii="Simplified Arabic" w:hAnsi="Simplified Arabic"/>
                      <w:rtl/>
                    </w:rPr>
                    <w:t>3.7</w:t>
                  </w:r>
                </w:p>
              </w:tc>
            </w:tr>
            <w:tr w:rsidR="003F357C">
              <w:trPr>
                <w:cantSplit/>
                <w:trHeight w:val="270"/>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hanging="425"/>
                  </w:pPr>
                  <w:r>
                    <w:rPr>
                      <w:b/>
                      <w:bCs/>
                    </w:rPr>
                    <w:t>3.</w:t>
                  </w:r>
                  <w:r>
                    <w:t xml:space="preserve">         </w:t>
                  </w:r>
                  <w:r>
                    <w:rPr>
                      <w:b/>
                      <w:bCs/>
                    </w:rPr>
                    <w:t>Do you feel secure about the future of the coming generations?</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28.6</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24.7</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35.1</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lastRenderedPageBreak/>
                    <w:t>2) To an extent</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24.0</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23.3</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25.2</w:t>
                  </w:r>
                </w:p>
              </w:tc>
            </w:tr>
            <w:tr w:rsidR="003F357C">
              <w:trPr>
                <w:cantSplit/>
                <w:trHeight w:val="327"/>
              </w:trPr>
              <w:tc>
                <w:tcPr>
                  <w:tcW w:w="40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54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47.4</w:t>
                  </w:r>
                </w:p>
              </w:tc>
              <w:tc>
                <w:tcPr>
                  <w:tcW w:w="18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52.0</w:t>
                  </w:r>
                </w:p>
              </w:tc>
              <w:tc>
                <w:tcPr>
                  <w:tcW w:w="20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39.6</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hanging="425"/>
                  </w:pPr>
                  <w:r>
                    <w:rPr>
                      <w:b/>
                      <w:bCs/>
                    </w:rPr>
                    <w:t>4.</w:t>
                  </w:r>
                  <w:r>
                    <w:t xml:space="preserve">         </w:t>
                  </w:r>
                  <w:r>
                    <w:rPr>
                      <w:b/>
                      <w:bCs/>
                    </w:rPr>
                    <w:t>At present, do you feel secure about yourself, your family, and your property?</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24.1</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20.7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29.8</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21.2</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18.0</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54.7</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56.1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52.2</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rPr>
                      <w:b/>
                      <w:bCs/>
                    </w:rPr>
                    <w:t>5.</w:t>
                  </w:r>
                  <w:r>
                    <w:t xml:space="preserve">           </w:t>
                  </w:r>
                  <w:r>
                    <w:rPr>
                      <w:b/>
                      <w:bCs/>
                    </w:rPr>
                    <w:t>Are you optimistic or pessimistic about the future?</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Optimistic</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51.2</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44.5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62.3</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In between</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22.9</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23.6</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21.7</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Pessimistic</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25.9</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31.9</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16.0</w:t>
                  </w:r>
                </w:p>
              </w:tc>
            </w:tr>
            <w:tr w:rsidR="003F357C">
              <w:trPr>
                <w:cantSplit/>
                <w:trHeight w:val="549"/>
              </w:trPr>
              <w:tc>
                <w:tcPr>
                  <w:tcW w:w="10155" w:type="dxa"/>
                  <w:gridSpan w:val="7"/>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3F357C" w:rsidRDefault="003F357C">
                  <w:pPr>
                    <w:spacing w:before="100" w:beforeAutospacing="1" w:after="100" w:afterAutospacing="1"/>
                    <w:ind w:left="765"/>
                  </w:pPr>
                  <w:r>
                    <w:rPr>
                      <w:b/>
                      <w:bCs/>
                    </w:rPr>
                    <w:t>Section Tow: The Aftermath of the Passing of  President Yaser Arafat</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rPr>
                      <w:b/>
                      <w:bCs/>
                    </w:rPr>
                    <w:t>6.</w:t>
                  </w:r>
                  <w:r>
                    <w:t xml:space="preserve">           </w:t>
                  </w:r>
                  <w:r>
                    <w:rPr>
                      <w:b/>
                      <w:bCs/>
                    </w:rPr>
                    <w:t xml:space="preserve">The Consequences of the Passing of the President (as perceived by the respondents) </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Increase in the power of the Islamist groups     </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58.8</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60.1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56.6</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14.4</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15.5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12.6</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20.1</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26.5</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8.2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4.3</w:t>
                  </w:r>
                </w:p>
              </w:tc>
            </w:tr>
            <w:tr w:rsidR="003F357C">
              <w:trPr>
                <w:cantSplit/>
                <w:trHeight w:val="327"/>
              </w:trPr>
              <w:tc>
                <w:tcPr>
                  <w:tcW w:w="10155"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Peaceful political conflict between the political forces    </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58.7</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58.0</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59.9</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16.7</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16.9</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19.1</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20.4</w:t>
                  </w:r>
                </w:p>
              </w:tc>
            </w:tr>
            <w:tr w:rsidR="003F357C">
              <w:trPr>
                <w:cantSplit/>
                <w:trHeight w:val="327"/>
              </w:trPr>
              <w:tc>
                <w:tcPr>
                  <w:tcW w:w="4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5.5</w:t>
                  </w:r>
                </w:p>
              </w:tc>
              <w:tc>
                <w:tcPr>
                  <w:tcW w:w="18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7.0</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2.9</w:t>
                  </w:r>
                </w:p>
              </w:tc>
            </w:tr>
            <w:tr w:rsidR="003F357C">
              <w:tc>
                <w:tcPr>
                  <w:tcW w:w="4320" w:type="dxa"/>
                  <w:tcBorders>
                    <w:top w:val="nil"/>
                    <w:left w:val="nil"/>
                    <w:bottom w:val="nil"/>
                    <w:right w:val="nil"/>
                  </w:tcBorders>
                  <w:vAlign w:val="center"/>
                  <w:hideMark/>
                </w:tcPr>
                <w:p w:rsidR="003F357C" w:rsidRDefault="003F357C">
                  <w:pPr>
                    <w:pStyle w:val="NormalWeb"/>
                    <w:ind w:left="765"/>
                  </w:pPr>
                  <w:r>
                    <w:t> </w:t>
                  </w:r>
                </w:p>
              </w:tc>
              <w:tc>
                <w:tcPr>
                  <w:tcW w:w="15" w:type="dxa"/>
                  <w:tcBorders>
                    <w:top w:val="nil"/>
                    <w:left w:val="nil"/>
                    <w:bottom w:val="nil"/>
                    <w:right w:val="nil"/>
                  </w:tcBorders>
                  <w:vAlign w:val="center"/>
                  <w:hideMark/>
                </w:tcPr>
                <w:p w:rsidR="003F357C" w:rsidRDefault="003F357C"/>
              </w:tc>
              <w:tc>
                <w:tcPr>
                  <w:tcW w:w="1770" w:type="dxa"/>
                  <w:tcBorders>
                    <w:top w:val="nil"/>
                    <w:left w:val="nil"/>
                    <w:bottom w:val="nil"/>
                    <w:right w:val="nil"/>
                  </w:tcBorders>
                  <w:vAlign w:val="center"/>
                  <w:hideMark/>
                </w:tcPr>
                <w:p w:rsidR="003F357C" w:rsidRDefault="003F357C">
                  <w:pPr>
                    <w:pStyle w:val="NormalWeb"/>
                    <w:ind w:left="765"/>
                  </w:pPr>
                  <w:r>
                    <w:t> </w:t>
                  </w:r>
                </w:p>
              </w:tc>
              <w:tc>
                <w:tcPr>
                  <w:tcW w:w="45" w:type="dxa"/>
                  <w:tcBorders>
                    <w:top w:val="nil"/>
                    <w:left w:val="nil"/>
                    <w:bottom w:val="nil"/>
                    <w:right w:val="nil"/>
                  </w:tcBorders>
                  <w:vAlign w:val="center"/>
                  <w:hideMark/>
                </w:tcPr>
                <w:p w:rsidR="003F357C" w:rsidRDefault="003F357C"/>
              </w:tc>
              <w:tc>
                <w:tcPr>
                  <w:tcW w:w="1980" w:type="dxa"/>
                  <w:tcBorders>
                    <w:top w:val="nil"/>
                    <w:left w:val="nil"/>
                    <w:bottom w:val="nil"/>
                    <w:right w:val="nil"/>
                  </w:tcBorders>
                  <w:vAlign w:val="center"/>
                  <w:hideMark/>
                </w:tcPr>
                <w:p w:rsidR="003F357C" w:rsidRDefault="003F357C">
                  <w:pPr>
                    <w:pStyle w:val="NormalWeb"/>
                    <w:ind w:left="765"/>
                  </w:pPr>
                  <w:r>
                    <w:t> </w:t>
                  </w:r>
                </w:p>
              </w:tc>
              <w:tc>
                <w:tcPr>
                  <w:tcW w:w="75" w:type="dxa"/>
                  <w:tcBorders>
                    <w:top w:val="nil"/>
                    <w:left w:val="nil"/>
                    <w:bottom w:val="nil"/>
                    <w:right w:val="nil"/>
                  </w:tcBorders>
                  <w:vAlign w:val="center"/>
                  <w:hideMark/>
                </w:tcPr>
                <w:p w:rsidR="003F357C" w:rsidRDefault="003F357C"/>
              </w:tc>
              <w:tc>
                <w:tcPr>
                  <w:tcW w:w="2220" w:type="dxa"/>
                  <w:tcBorders>
                    <w:top w:val="nil"/>
                    <w:left w:val="nil"/>
                    <w:bottom w:val="nil"/>
                    <w:right w:val="nil"/>
                  </w:tcBorders>
                  <w:vAlign w:val="center"/>
                  <w:hideMark/>
                </w:tcPr>
                <w:p w:rsidR="003F357C" w:rsidRDefault="003F357C">
                  <w:pPr>
                    <w:pStyle w:val="NormalWeb"/>
                    <w:ind w:left="765"/>
                  </w:pPr>
                  <w:r>
                    <w:t> </w:t>
                  </w:r>
                </w:p>
              </w:tc>
            </w:tr>
          </w:tbl>
          <w:p w:rsidR="003F357C" w:rsidRDefault="003F357C">
            <w:pPr>
              <w:rPr>
                <w:vanish/>
              </w:rPr>
            </w:pPr>
          </w:p>
          <w:tbl>
            <w:tblPr>
              <w:tblW w:w="10395" w:type="dxa"/>
              <w:tblCellMar>
                <w:left w:w="0" w:type="dxa"/>
                <w:right w:w="0" w:type="dxa"/>
              </w:tblCellMar>
              <w:tblLook w:val="04A0" w:firstRow="1" w:lastRow="0" w:firstColumn="1" w:lastColumn="0" w:noHBand="0" w:noVBand="1"/>
            </w:tblPr>
            <w:tblGrid>
              <w:gridCol w:w="3762"/>
              <w:gridCol w:w="1873"/>
              <w:gridCol w:w="2288"/>
              <w:gridCol w:w="2472"/>
            </w:tblGrid>
            <w:tr w:rsidR="003F357C">
              <w:trPr>
                <w:cantSplit/>
                <w:trHeight w:val="327"/>
              </w:trPr>
              <w:tc>
                <w:tcPr>
                  <w:tcW w:w="367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F357C" w:rsidRDefault="003F357C">
                  <w:pPr>
                    <w:ind w:left="765" w:right="-2"/>
                    <w:jc w:val="lowKashida"/>
                  </w:pPr>
                  <w:r>
                    <w:rPr>
                      <w:b/>
                      <w:bCs/>
                    </w:rPr>
                    <w:t> </w:t>
                  </w:r>
                </w:p>
              </w:tc>
              <w:tc>
                <w:tcPr>
                  <w:tcW w:w="1830"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ind w:left="72" w:right="-2"/>
                    <w:jc w:val="lowKashida"/>
                  </w:pPr>
                  <w:r>
                    <w:rPr>
                      <w:b/>
                      <w:bCs/>
                    </w:rPr>
                    <w:t>Total %</w:t>
                  </w:r>
                </w:p>
              </w:tc>
              <w:tc>
                <w:tcPr>
                  <w:tcW w:w="2235"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ind w:left="72" w:right="-2"/>
                    <w:jc w:val="lowKashida"/>
                  </w:pPr>
                  <w:r>
                    <w:rPr>
                      <w:b/>
                      <w:bCs/>
                    </w:rPr>
                    <w:t>West Bank %</w:t>
                  </w:r>
                </w:p>
              </w:tc>
              <w:tc>
                <w:tcPr>
                  <w:tcW w:w="1740"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ind w:left="72" w:right="-2"/>
                    <w:jc w:val="lowKashida"/>
                  </w:pPr>
                  <w:r>
                    <w:rPr>
                      <w:b/>
                      <w:bCs/>
                    </w:rPr>
                    <w:t>Gaza Strip %</w:t>
                  </w:r>
                </w:p>
              </w:tc>
            </w:tr>
            <w:tr w:rsidR="003F357C">
              <w:trPr>
                <w:cantSplit/>
                <w:trHeight w:val="327"/>
              </w:trPr>
              <w:tc>
                <w:tcPr>
                  <w:tcW w:w="1015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ind w:left="765" w:right="-2"/>
                    <w:jc w:val="lowKashida"/>
                  </w:pPr>
                  <w:r>
                    <w:t>Distribution of authority between a number of leaders in the PA</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54.4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56.9</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50.3</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19.8</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17.9</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22.9</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18.0</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16.8</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20.2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7.8</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8.5</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6.6</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More interest in institutional reform</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53.7</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48.1</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62.8</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17.2</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17.7</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24.3</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28.7</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17.1</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4.6</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2.4</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An opportunity to reorganize Palestinian institutions and develop their performance </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lastRenderedPageBreak/>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52.3</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47.5</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60.2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20.4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21.1</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19.4</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21.2</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23.6</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6.1</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7.8</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3.2</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Violent conflict between the political forces</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39.3</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14.8</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15.0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14.3</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40.7</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39.2</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43.1</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5.2</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3.4</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More democracy        </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38.8</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37.3</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41.1</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16.0</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14.4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18.6</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38.6</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41.2</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34.2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6.6</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7.0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6.0</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Decline in international interest in the Palestinian situation          </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38.5</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37.4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40.4</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16.0</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16.1</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15.8</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39.0</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38.7</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39.5</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6.5</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7.8</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4.4</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Decline in the performance of the PA  </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35.1</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35.4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34.5</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19.7</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19.7</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19.7</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37.9</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35.9</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41.2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7.3</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9.0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4.5</w:t>
                  </w:r>
                </w:p>
              </w:tc>
            </w:tr>
            <w:tr w:rsidR="003F357C">
              <w:trPr>
                <w:cantSplit/>
                <w:trHeight w:val="327"/>
              </w:trPr>
              <w:tc>
                <w:tcPr>
                  <w:tcW w:w="1015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End of Israeli occupation</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1) Yes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19.7</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17.4</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23.5</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14.4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12.1</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18.1</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60.6</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64.5</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54.2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4) No opinion</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5.3</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6.0</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t>4.2</w:t>
                  </w:r>
                </w:p>
              </w:tc>
            </w:tr>
            <w:tr w:rsidR="003F357C">
              <w:trPr>
                <w:cantSplit/>
                <w:trHeight w:val="327"/>
              </w:trPr>
              <w:tc>
                <w:tcPr>
                  <w:tcW w:w="3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 </w:t>
                  </w:r>
                </w:p>
              </w:tc>
              <w:tc>
                <w:tcPr>
                  <w:tcW w:w="183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rPr>
                      <w:b/>
                      <w:bCs/>
                    </w:rPr>
                    <w:t>Total %</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rPr>
                      <w:b/>
                      <w:bCs/>
                    </w:rPr>
                    <w:t>West Bank %</w:t>
                  </w:r>
                </w:p>
              </w:tc>
              <w:tc>
                <w:tcPr>
                  <w:tcW w:w="17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jc w:val="center"/>
                  </w:pPr>
                  <w:r>
                    <w:rPr>
                      <w:b/>
                      <w:bCs/>
                    </w:rPr>
                    <w:t>Gaza Strip %</w:t>
                  </w:r>
                </w:p>
              </w:tc>
            </w:tr>
          </w:tbl>
          <w:p w:rsidR="003F357C" w:rsidRDefault="003F357C">
            <w:pPr>
              <w:rPr>
                <w:vanish/>
              </w:rPr>
            </w:pPr>
          </w:p>
          <w:tbl>
            <w:tblPr>
              <w:tblW w:w="0" w:type="auto"/>
              <w:tblCellMar>
                <w:left w:w="0" w:type="dxa"/>
                <w:right w:w="0" w:type="dxa"/>
              </w:tblCellMar>
              <w:tblLook w:val="04A0" w:firstRow="1" w:lastRow="0" w:firstColumn="1" w:lastColumn="0" w:noHBand="0" w:noVBand="1"/>
            </w:tblPr>
            <w:tblGrid>
              <w:gridCol w:w="3737"/>
              <w:gridCol w:w="1897"/>
              <w:gridCol w:w="2040"/>
              <w:gridCol w:w="2046"/>
            </w:tblGrid>
            <w:tr w:rsidR="003F357C">
              <w:trPr>
                <w:cantSplit/>
                <w:trHeight w:val="327"/>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7.</w:t>
                  </w:r>
                  <w:r>
                    <w:rPr>
                      <w:sz w:val="14"/>
                      <w:szCs w:val="14"/>
                    </w:rPr>
                    <w:t xml:space="preserve">             </w:t>
                  </w:r>
                  <w:r>
                    <w:rPr>
                      <w:b/>
                      <w:bCs/>
                    </w:rPr>
                    <w:t xml:space="preserve">Fears after the Passing of the president </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Continuation of the occupation</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79.8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80.1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79.4</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8.1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9.0</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12.3</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11.6</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Economic decline</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74.2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74.8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73.1</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lastRenderedPageBreak/>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12.5</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14.0</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14.5</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 xml:space="preserve">Deterioration of Internal Security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72.6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72.1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73.4</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11.3</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9.0</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16.0</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15.1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17.6</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Use of weapons in resolving conflicts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65.6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70.9</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11.3</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9.6</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21.0</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22.0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19.5</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Reinforcing division between Gaza and the West Bank</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67.9</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15.2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15.9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14.1</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18.1</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Abandoning Palestinian national rights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60.4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62.8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9.2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28.4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28.7</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28.0</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Increasing conflict between Palestinian factions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59.7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60.5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23.3</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22.9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24.0</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Decline in the performance of the Authority</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57.9</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57.8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58.1</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18.0</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23.5</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23.3</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24.0</w:t>
                  </w:r>
                </w:p>
              </w:tc>
            </w:tr>
          </w:tbl>
          <w:p w:rsidR="003F357C" w:rsidRDefault="003F357C">
            <w:pPr>
              <w:rPr>
                <w:vanish/>
              </w:rPr>
            </w:pPr>
          </w:p>
          <w:tbl>
            <w:tblPr>
              <w:tblW w:w="0" w:type="auto"/>
              <w:tblCellMar>
                <w:left w:w="0" w:type="dxa"/>
                <w:right w:w="0" w:type="dxa"/>
              </w:tblCellMar>
              <w:tblLook w:val="04A0" w:firstRow="1" w:lastRow="0" w:firstColumn="1" w:lastColumn="0" w:noHBand="0" w:noVBand="1"/>
            </w:tblPr>
            <w:tblGrid>
              <w:gridCol w:w="3737"/>
              <w:gridCol w:w="1897"/>
              <w:gridCol w:w="2040"/>
              <w:gridCol w:w="2046"/>
            </w:tblGrid>
            <w:tr w:rsidR="003F357C">
              <w:trPr>
                <w:cantSplit/>
                <w:trHeight w:val="327"/>
              </w:trPr>
              <w:tc>
                <w:tcPr>
                  <w:tcW w:w="373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 </w:t>
                  </w:r>
                </w:p>
              </w:tc>
              <w:tc>
                <w:tcPr>
                  <w:tcW w:w="1897"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Total %</w:t>
                  </w:r>
                </w:p>
              </w:tc>
              <w:tc>
                <w:tcPr>
                  <w:tcW w:w="2040"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West Bank %</w:t>
                  </w:r>
                </w:p>
              </w:tc>
              <w:tc>
                <w:tcPr>
                  <w:tcW w:w="2046"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Gaza Strip %</w:t>
                  </w:r>
                </w:p>
              </w:tc>
            </w:tr>
            <w:tr w:rsidR="003F357C">
              <w:trPr>
                <w:cantSplit/>
                <w:trHeight w:val="327"/>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t>Increasing conflict inside Fateh</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55.3</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58.2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50.5</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To an extent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18.3</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31.1</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8.</w:t>
                  </w:r>
                  <w:r>
                    <w:rPr>
                      <w:sz w:val="14"/>
                      <w:szCs w:val="14"/>
                    </w:rPr>
                    <w:t xml:space="preserve">             </w:t>
                  </w:r>
                  <w:r>
                    <w:rPr>
                      <w:b/>
                      <w:bCs/>
                    </w:rPr>
                    <w:t xml:space="preserve">Do you support or oppose disarming the various militias (AlAqsa, Al Qassam, etc…)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Support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28.6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30.9</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Oppose</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65.8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66.0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65.5</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opinion</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3.6</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lastRenderedPageBreak/>
                    <w:t>9.</w:t>
                  </w:r>
                  <w:r>
                    <w:rPr>
                      <w:sz w:val="14"/>
                      <w:szCs w:val="14"/>
                    </w:rPr>
                    <w:t xml:space="preserve">             </w:t>
                  </w:r>
                  <w:r>
                    <w:rPr>
                      <w:b/>
                      <w:bCs/>
                    </w:rPr>
                    <w:t xml:space="preserve">Do you support or oppose the banning of  illegal weapons even if the PA must resort to the use of force to implement that ban?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Support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69.5</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66.0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75.4</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Oppose</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29.5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opinion</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10.</w:t>
                  </w:r>
                  <w:r>
                    <w:rPr>
                      <w:sz w:val="14"/>
                      <w:szCs w:val="14"/>
                    </w:rPr>
                    <w:t xml:space="preserve">         </w:t>
                  </w:r>
                  <w:r>
                    <w:rPr>
                      <w:b/>
                      <w:bCs/>
                    </w:rPr>
                    <w:t>Do you support or oppose a legal ban on the carrying of arms in public places?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Support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78.8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79.4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77.8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Oppose</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20.1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22.2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opinion</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rPr>
                      <w:rFonts w:hint="cs"/>
                      <w:rtl/>
                    </w:rPr>
                    <w:t> </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pPr>
                  <w:r>
                    <w:rPr>
                      <w:b/>
                      <w:bCs/>
                    </w:rPr>
                    <w:t xml:space="preserve">Fateh and Hamas have varying views and programs on the future of Palestinian  society, in your opinion, which one of them has the most concrete and realistic programs in the following areas? </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11.</w:t>
                  </w:r>
                  <w:r>
                    <w:rPr>
                      <w:sz w:val="14"/>
                      <w:szCs w:val="14"/>
                    </w:rPr>
                    <w:t xml:space="preserve">         </w:t>
                  </w:r>
                  <w:r>
                    <w:rPr>
                      <w:b/>
                      <w:bCs/>
                    </w:rPr>
                    <w:t xml:space="preserve">Achieving a satisfactory political solutions to the Israeli-Palestinian conflict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Fateh</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50.7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49.6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52.5</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Hamas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26.2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30.7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34.1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25.1</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12.</w:t>
                  </w:r>
                  <w:r>
                    <w:rPr>
                      <w:sz w:val="14"/>
                      <w:szCs w:val="14"/>
                    </w:rPr>
                    <w:t xml:space="preserve">         </w:t>
                  </w:r>
                  <w:r>
                    <w:rPr>
                      <w:b/>
                      <w:bCs/>
                    </w:rPr>
                    <w:t>Achieving a solution to economic and social problems?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Fateh</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44.2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41.7</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48.4</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Hamas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25.0</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26.5</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30.7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34.1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25.1</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13.</w:t>
                  </w:r>
                  <w:r>
                    <w:rPr>
                      <w:sz w:val="14"/>
                      <w:szCs w:val="14"/>
                    </w:rPr>
                    <w:t xml:space="preserve">         </w:t>
                  </w:r>
                  <w:r>
                    <w:rPr>
                      <w:b/>
                      <w:bCs/>
                    </w:rPr>
                    <w:t>Improving Palestinian –international relations?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Fateh</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65.6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62.4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70.8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Hamas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12.9</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12.7</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21.4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16.4</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14.</w:t>
                  </w:r>
                  <w:r>
                    <w:rPr>
                      <w:sz w:val="14"/>
                      <w:szCs w:val="14"/>
                    </w:rPr>
                    <w:t xml:space="preserve">         </w:t>
                  </w:r>
                  <w:r>
                    <w:rPr>
                      <w:b/>
                      <w:bCs/>
                    </w:rPr>
                    <w:t>Improving Palestinian –Arabs relations?</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Fateh</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63.5</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60.3</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68.8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Hamas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17.7</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16.1</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19.7</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13.5</w:t>
                  </w:r>
                </w:p>
              </w:tc>
            </w:tr>
          </w:tbl>
          <w:p w:rsidR="003F357C" w:rsidRDefault="003F357C">
            <w:pPr>
              <w:rPr>
                <w:vanish/>
              </w:rPr>
            </w:pPr>
          </w:p>
          <w:tbl>
            <w:tblPr>
              <w:tblW w:w="0" w:type="auto"/>
              <w:tblCellMar>
                <w:left w:w="0" w:type="dxa"/>
                <w:right w:w="0" w:type="dxa"/>
              </w:tblCellMar>
              <w:tblLook w:val="04A0" w:firstRow="1" w:lastRow="0" w:firstColumn="1" w:lastColumn="0" w:noHBand="0" w:noVBand="1"/>
            </w:tblPr>
            <w:tblGrid>
              <w:gridCol w:w="3737"/>
              <w:gridCol w:w="1897"/>
              <w:gridCol w:w="2040"/>
              <w:gridCol w:w="2046"/>
            </w:tblGrid>
            <w:tr w:rsidR="003F357C">
              <w:trPr>
                <w:cantSplit/>
                <w:trHeight w:val="327"/>
              </w:trPr>
              <w:tc>
                <w:tcPr>
                  <w:tcW w:w="373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w:t>
                  </w:r>
                </w:p>
              </w:tc>
              <w:tc>
                <w:tcPr>
                  <w:tcW w:w="1897"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Total %</w:t>
                  </w:r>
                </w:p>
              </w:tc>
              <w:tc>
                <w:tcPr>
                  <w:tcW w:w="2040"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West Bank %</w:t>
                  </w:r>
                </w:p>
              </w:tc>
              <w:tc>
                <w:tcPr>
                  <w:tcW w:w="2046" w:type="dxa"/>
                  <w:tcBorders>
                    <w:top w:val="single" w:sz="8" w:space="0" w:color="auto"/>
                    <w:left w:val="nil"/>
                    <w:bottom w:val="nil"/>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rPr>
                      <w:b/>
                      <w:bCs/>
                    </w:rPr>
                    <w:t>Gaza Strip %</w:t>
                  </w:r>
                </w:p>
              </w:tc>
            </w:tr>
            <w:tr w:rsidR="003F357C">
              <w:trPr>
                <w:cantSplit/>
                <w:trHeight w:val="327"/>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15.</w:t>
                  </w:r>
                  <w:r>
                    <w:rPr>
                      <w:sz w:val="14"/>
                      <w:szCs w:val="14"/>
                    </w:rPr>
                    <w:t xml:space="preserve">         </w:t>
                  </w:r>
                  <w:r>
                    <w:rPr>
                      <w:b/>
                      <w:bCs/>
                    </w:rPr>
                    <w:t xml:space="preserve">Do you believe that the re-election of president George Bush will lead to: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A positive push to the peace process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16.1</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20.9</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2) Reinforcing the status quo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12.4</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11.7</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13.4</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 xml:space="preserve">3) Intensifying pressure on  the Palestinians to concede to Israeli demands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71.5</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75.1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65.7</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lastRenderedPageBreak/>
                    <w:t>16.</w:t>
                  </w:r>
                  <w:r>
                    <w:rPr>
                      <w:sz w:val="14"/>
                      <w:szCs w:val="14"/>
                    </w:rPr>
                    <w:t xml:space="preserve">         </w:t>
                  </w:r>
                  <w:r>
                    <w:rPr>
                      <w:b/>
                      <w:bCs/>
                    </w:rPr>
                    <w:t>Do you believe that the U.S. government is serious about establishing Palestinian state in WBG?</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16.6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13.6</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21.6</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74.6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76.9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70.7</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8.8</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9.5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7.7</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17.</w:t>
                  </w:r>
                  <w:r>
                    <w:rPr>
                      <w:sz w:val="14"/>
                      <w:szCs w:val="14"/>
                    </w:rPr>
                    <w:t xml:space="preserve">         </w:t>
                  </w:r>
                  <w:r>
                    <w:rPr>
                      <w:b/>
                      <w:bCs/>
                    </w:rPr>
                    <w:t>Do you support or oppose return to the continuation of negotiations with Israel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Support</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68.9</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66.4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73.2</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Oppose</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27.5</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29.2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24.6</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opinion</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4.4</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2.3</w:t>
                  </w:r>
                </w:p>
              </w:tc>
            </w:tr>
            <w:tr w:rsidR="003F357C">
              <w:trPr>
                <w:cantSplit/>
                <w:trHeight w:val="327"/>
              </w:trPr>
              <w:tc>
                <w:tcPr>
                  <w:tcW w:w="97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hanging="570"/>
                  </w:pPr>
                  <w:r>
                    <w:rPr>
                      <w:b/>
                      <w:bCs/>
                    </w:rPr>
                    <w:t>18.</w:t>
                  </w:r>
                  <w:r>
                    <w:rPr>
                      <w:sz w:val="14"/>
                      <w:szCs w:val="14"/>
                    </w:rPr>
                    <w:t xml:space="preserve">         </w:t>
                  </w:r>
                  <w:r>
                    <w:rPr>
                      <w:b/>
                      <w:bCs/>
                    </w:rPr>
                    <w:t xml:space="preserve">Do you support a lasting solution to the Palestinian –Israeli conflict based on U.N. Resolutions?  </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1) Yes</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64.2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62.5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67.1</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2) No</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31.2</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32.0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29.8</w:t>
                  </w:r>
                </w:p>
              </w:tc>
            </w:tr>
            <w:tr w:rsidR="003F357C">
              <w:trPr>
                <w:cantSplit/>
                <w:trHeight w:val="327"/>
              </w:trPr>
              <w:tc>
                <w:tcPr>
                  <w:tcW w:w="3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firstLine="283"/>
                  </w:pPr>
                  <w:r>
                    <w:t>3) No one of them</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4.6</w:t>
                  </w:r>
                </w:p>
              </w:tc>
              <w:tc>
                <w:tcPr>
                  <w:tcW w:w="2040"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5.5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3F357C" w:rsidRDefault="003F357C">
                  <w:pPr>
                    <w:spacing w:before="100" w:beforeAutospacing="1" w:after="100" w:afterAutospacing="1"/>
                    <w:ind w:left="765"/>
                    <w:jc w:val="center"/>
                  </w:pPr>
                  <w:r>
                    <w:t>3.1</w:t>
                  </w:r>
                </w:p>
              </w:tc>
            </w:tr>
          </w:tbl>
          <w:p w:rsidR="003F357C" w:rsidRDefault="003F357C">
            <w:pPr>
              <w:pStyle w:val="NormalWeb"/>
            </w:pPr>
            <w:r>
              <w:t> </w:t>
            </w:r>
            <w:hyperlink r:id="rId10" w:anchor="top" w:history="1">
              <w:r>
                <w:rPr>
                  <w:rStyle w:val="Hyperlink"/>
                </w:rPr>
                <w:t>Top of this page</w:t>
              </w:r>
            </w:hyperlink>
            <w:r>
              <w:t xml:space="preserve">    |    </w:t>
            </w:r>
            <w:hyperlink r:id="rId11" w:history="1">
              <w:r>
                <w:rPr>
                  <w:rStyle w:val="Hyperlink"/>
                </w:rPr>
                <w:t>DSP Home</w:t>
              </w:r>
            </w:hyperlink>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
              <w:gridCol w:w="300"/>
              <w:gridCol w:w="4500"/>
              <w:gridCol w:w="300"/>
              <w:gridCol w:w="5100"/>
            </w:tblGrid>
            <w:tr w:rsidR="003F357C" w:rsidTr="003F357C">
              <w:trPr>
                <w:tblCellSpacing w:w="0" w:type="dxa"/>
              </w:trPr>
              <w:tc>
                <w:tcPr>
                  <w:tcW w:w="45" w:type="dxa"/>
                  <w:tcBorders>
                    <w:top w:val="nil"/>
                    <w:left w:val="nil"/>
                    <w:bottom w:val="nil"/>
                    <w:right w:val="nil"/>
                  </w:tcBorders>
                  <w:vAlign w:val="center"/>
                  <w:hideMark/>
                </w:tcPr>
                <w:p w:rsidR="003F357C" w:rsidRDefault="003F357C"/>
              </w:tc>
              <w:tc>
                <w:tcPr>
                  <w:tcW w:w="120" w:type="dxa"/>
                  <w:tcBorders>
                    <w:top w:val="nil"/>
                    <w:left w:val="nil"/>
                    <w:bottom w:val="nil"/>
                    <w:right w:val="nil"/>
                  </w:tcBorders>
                  <w:vAlign w:val="center"/>
                  <w:hideMark/>
                </w:tcPr>
                <w:p w:rsidR="003F357C" w:rsidRDefault="003F357C">
                  <w:pPr>
                    <w:rPr>
                      <w:sz w:val="20"/>
                      <w:szCs w:val="20"/>
                    </w:rPr>
                  </w:pPr>
                </w:p>
              </w:tc>
              <w:tc>
                <w:tcPr>
                  <w:tcW w:w="1800" w:type="dxa"/>
                  <w:tcBorders>
                    <w:top w:val="nil"/>
                    <w:left w:val="nil"/>
                    <w:bottom w:val="nil"/>
                    <w:right w:val="nil"/>
                  </w:tcBorders>
                  <w:vAlign w:val="center"/>
                  <w:hideMark/>
                </w:tcPr>
                <w:p w:rsidR="003F357C" w:rsidRDefault="003F357C">
                  <w:pPr>
                    <w:rPr>
                      <w:sz w:val="20"/>
                      <w:szCs w:val="20"/>
                    </w:rPr>
                  </w:pPr>
                </w:p>
              </w:tc>
              <w:tc>
                <w:tcPr>
                  <w:tcW w:w="120" w:type="dxa"/>
                  <w:tcBorders>
                    <w:top w:val="nil"/>
                    <w:left w:val="nil"/>
                    <w:bottom w:val="nil"/>
                    <w:right w:val="nil"/>
                  </w:tcBorders>
                  <w:vAlign w:val="center"/>
                  <w:hideMark/>
                </w:tcPr>
                <w:p w:rsidR="003F357C" w:rsidRDefault="003F357C">
                  <w:pPr>
                    <w:rPr>
                      <w:sz w:val="20"/>
                      <w:szCs w:val="20"/>
                    </w:rPr>
                  </w:pPr>
                </w:p>
              </w:tc>
              <w:tc>
                <w:tcPr>
                  <w:tcW w:w="2040" w:type="dxa"/>
                  <w:tcBorders>
                    <w:top w:val="nil"/>
                    <w:left w:val="nil"/>
                    <w:bottom w:val="nil"/>
                    <w:right w:val="nil"/>
                  </w:tcBorders>
                  <w:vAlign w:val="center"/>
                  <w:hideMark/>
                </w:tcPr>
                <w:p w:rsidR="003F357C" w:rsidRDefault="003F357C">
                  <w:pPr>
                    <w:rPr>
                      <w:sz w:val="20"/>
                      <w:szCs w:val="20"/>
                    </w:rPr>
                  </w:pPr>
                </w:p>
              </w:tc>
            </w:tr>
          </w:tbl>
          <w:p w:rsidR="003F357C" w:rsidRDefault="003F357C" w:rsidP="003F357C">
            <w:pPr>
              <w:rPr>
                <w:vanish/>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gridCol w:w="1062"/>
              <w:gridCol w:w="5156"/>
            </w:tblGrid>
            <w:tr w:rsidR="003F357C" w:rsidTr="003F357C">
              <w:trPr>
                <w:tblCellSpacing w:w="0" w:type="dxa"/>
              </w:trPr>
              <w:tc>
                <w:tcPr>
                  <w:tcW w:w="1620" w:type="dxa"/>
                  <w:tcBorders>
                    <w:top w:val="nil"/>
                    <w:left w:val="nil"/>
                    <w:bottom w:val="nil"/>
                    <w:right w:val="nil"/>
                  </w:tcBorders>
                  <w:vAlign w:val="center"/>
                  <w:hideMark/>
                </w:tcPr>
                <w:p w:rsidR="003F357C" w:rsidRDefault="003F357C">
                  <w:pPr>
                    <w:rPr>
                      <w:sz w:val="24"/>
                      <w:szCs w:val="24"/>
                    </w:rPr>
                  </w:pPr>
                </w:p>
              </w:tc>
              <w:tc>
                <w:tcPr>
                  <w:tcW w:w="420" w:type="dxa"/>
                  <w:tcBorders>
                    <w:top w:val="nil"/>
                    <w:left w:val="nil"/>
                    <w:bottom w:val="nil"/>
                    <w:right w:val="nil"/>
                  </w:tcBorders>
                  <w:vAlign w:val="center"/>
                  <w:hideMark/>
                </w:tcPr>
                <w:p w:rsidR="003F357C" w:rsidRDefault="003F357C">
                  <w:pPr>
                    <w:rPr>
                      <w:sz w:val="20"/>
                      <w:szCs w:val="20"/>
                    </w:rPr>
                  </w:pPr>
                </w:p>
              </w:tc>
              <w:tc>
                <w:tcPr>
                  <w:tcW w:w="2040" w:type="dxa"/>
                  <w:tcBorders>
                    <w:top w:val="nil"/>
                    <w:left w:val="nil"/>
                    <w:bottom w:val="nil"/>
                    <w:right w:val="nil"/>
                  </w:tcBorders>
                  <w:vAlign w:val="center"/>
                  <w:hideMark/>
                </w:tcPr>
                <w:p w:rsidR="003F357C" w:rsidRDefault="003F357C">
                  <w:pPr>
                    <w:rPr>
                      <w:sz w:val="20"/>
                      <w:szCs w:val="20"/>
                    </w:rPr>
                  </w:pPr>
                </w:p>
              </w:tc>
            </w:tr>
          </w:tbl>
          <w:p w:rsidR="003F357C" w:rsidRDefault="003F357C" w:rsidP="003F357C">
            <w:pPr>
              <w:rPr>
                <w:vanish/>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2"/>
              <w:gridCol w:w="64"/>
              <w:gridCol w:w="1780"/>
              <w:gridCol w:w="111"/>
              <w:gridCol w:w="1700"/>
              <w:gridCol w:w="143"/>
              <w:gridCol w:w="2622"/>
            </w:tblGrid>
            <w:tr w:rsidR="003F357C" w:rsidTr="003F357C">
              <w:trPr>
                <w:tblCellSpacing w:w="0" w:type="dxa"/>
              </w:trPr>
              <w:tc>
                <w:tcPr>
                  <w:tcW w:w="3675" w:type="dxa"/>
                  <w:tcBorders>
                    <w:top w:val="nil"/>
                    <w:left w:val="nil"/>
                    <w:bottom w:val="nil"/>
                    <w:right w:val="nil"/>
                  </w:tcBorders>
                  <w:vAlign w:val="center"/>
                  <w:hideMark/>
                </w:tcPr>
                <w:p w:rsidR="003F357C" w:rsidRDefault="003F357C">
                  <w:pPr>
                    <w:rPr>
                      <w:sz w:val="24"/>
                      <w:szCs w:val="24"/>
                    </w:rPr>
                  </w:pPr>
                </w:p>
              </w:tc>
              <w:tc>
                <w:tcPr>
                  <w:tcW w:w="60" w:type="dxa"/>
                  <w:tcBorders>
                    <w:top w:val="nil"/>
                    <w:left w:val="nil"/>
                    <w:bottom w:val="nil"/>
                    <w:right w:val="nil"/>
                  </w:tcBorders>
                  <w:vAlign w:val="center"/>
                  <w:hideMark/>
                </w:tcPr>
                <w:p w:rsidR="003F357C" w:rsidRDefault="003F357C">
                  <w:pPr>
                    <w:rPr>
                      <w:sz w:val="20"/>
                      <w:szCs w:val="20"/>
                    </w:rPr>
                  </w:pPr>
                </w:p>
              </w:tc>
              <w:tc>
                <w:tcPr>
                  <w:tcW w:w="1680" w:type="dxa"/>
                  <w:tcBorders>
                    <w:top w:val="nil"/>
                    <w:left w:val="nil"/>
                    <w:bottom w:val="nil"/>
                    <w:right w:val="nil"/>
                  </w:tcBorders>
                  <w:vAlign w:val="center"/>
                  <w:hideMark/>
                </w:tcPr>
                <w:p w:rsidR="003F357C" w:rsidRDefault="003F357C">
                  <w:pPr>
                    <w:rPr>
                      <w:sz w:val="20"/>
                      <w:szCs w:val="20"/>
                    </w:rPr>
                  </w:pPr>
                </w:p>
              </w:tc>
              <w:tc>
                <w:tcPr>
                  <w:tcW w:w="105" w:type="dxa"/>
                  <w:tcBorders>
                    <w:top w:val="nil"/>
                    <w:left w:val="nil"/>
                    <w:bottom w:val="nil"/>
                    <w:right w:val="nil"/>
                  </w:tcBorders>
                  <w:vAlign w:val="center"/>
                  <w:hideMark/>
                </w:tcPr>
                <w:p w:rsidR="003F357C" w:rsidRDefault="003F357C">
                  <w:pPr>
                    <w:rPr>
                      <w:sz w:val="20"/>
                      <w:szCs w:val="20"/>
                    </w:rPr>
                  </w:pPr>
                </w:p>
              </w:tc>
              <w:tc>
                <w:tcPr>
                  <w:tcW w:w="1605" w:type="dxa"/>
                  <w:tcBorders>
                    <w:top w:val="nil"/>
                    <w:left w:val="nil"/>
                    <w:bottom w:val="nil"/>
                    <w:right w:val="nil"/>
                  </w:tcBorders>
                  <w:vAlign w:val="center"/>
                  <w:hideMark/>
                </w:tcPr>
                <w:p w:rsidR="003F357C" w:rsidRDefault="003F357C">
                  <w:pPr>
                    <w:rPr>
                      <w:sz w:val="20"/>
                      <w:szCs w:val="20"/>
                    </w:rPr>
                  </w:pPr>
                </w:p>
              </w:tc>
              <w:tc>
                <w:tcPr>
                  <w:tcW w:w="135" w:type="dxa"/>
                  <w:tcBorders>
                    <w:top w:val="nil"/>
                    <w:left w:val="nil"/>
                    <w:bottom w:val="nil"/>
                    <w:right w:val="nil"/>
                  </w:tcBorders>
                  <w:vAlign w:val="center"/>
                  <w:hideMark/>
                </w:tcPr>
                <w:p w:rsidR="003F357C" w:rsidRDefault="003F357C">
                  <w:pPr>
                    <w:rPr>
                      <w:sz w:val="20"/>
                      <w:szCs w:val="20"/>
                    </w:rPr>
                  </w:pPr>
                </w:p>
              </w:tc>
              <w:tc>
                <w:tcPr>
                  <w:tcW w:w="2475" w:type="dxa"/>
                  <w:tcBorders>
                    <w:top w:val="nil"/>
                    <w:left w:val="nil"/>
                    <w:bottom w:val="nil"/>
                    <w:right w:val="nil"/>
                  </w:tcBorders>
                  <w:vAlign w:val="center"/>
                  <w:hideMark/>
                </w:tcPr>
                <w:p w:rsidR="003F357C" w:rsidRDefault="003F357C">
                  <w:pPr>
                    <w:rPr>
                      <w:sz w:val="20"/>
                      <w:szCs w:val="20"/>
                    </w:rPr>
                  </w:pPr>
                </w:p>
              </w:tc>
            </w:tr>
          </w:tbl>
          <w:p w:rsidR="003F357C" w:rsidRDefault="003F357C">
            <w:pPr>
              <w:rPr>
                <w:sz w:val="24"/>
                <w:szCs w:val="24"/>
              </w:rPr>
            </w:pPr>
          </w:p>
        </w:tc>
        <w:tc>
          <w:tcPr>
            <w:tcW w:w="0" w:type="auto"/>
            <w:vAlign w:val="center"/>
            <w:hideMark/>
          </w:tcPr>
          <w:p w:rsidR="003F357C" w:rsidRDefault="003F357C">
            <w:pPr>
              <w:rPr>
                <w:sz w:val="20"/>
                <w:szCs w:val="20"/>
              </w:rPr>
            </w:pPr>
          </w:p>
        </w:tc>
      </w:tr>
      <w:tr w:rsidR="003F357C" w:rsidTr="003F357C">
        <w:trPr>
          <w:trHeight w:val="345"/>
          <w:tblCellSpacing w:w="0" w:type="dxa"/>
          <w:jc w:val="center"/>
        </w:trPr>
        <w:tc>
          <w:tcPr>
            <w:tcW w:w="300" w:type="dxa"/>
            <w:vAlign w:val="center"/>
            <w:hideMark/>
          </w:tcPr>
          <w:p w:rsidR="003F357C" w:rsidRDefault="003F357C">
            <w:pPr>
              <w:rPr>
                <w:sz w:val="24"/>
                <w:szCs w:val="24"/>
              </w:rPr>
            </w:pPr>
            <w:r>
              <w:lastRenderedPageBreak/>
              <w:t> </w:t>
            </w:r>
          </w:p>
        </w:tc>
        <w:tc>
          <w:tcPr>
            <w:tcW w:w="3060" w:type="dxa"/>
            <w:vAlign w:val="center"/>
            <w:hideMark/>
          </w:tcPr>
          <w:p w:rsidR="003F357C" w:rsidRDefault="003F357C">
            <w:r>
              <w:t>   </w:t>
            </w:r>
          </w:p>
        </w:tc>
        <w:tc>
          <w:tcPr>
            <w:tcW w:w="1950" w:type="dxa"/>
            <w:vAlign w:val="center"/>
            <w:hideMark/>
          </w:tcPr>
          <w:p w:rsidR="003F357C" w:rsidRDefault="003F357C"/>
        </w:tc>
        <w:tc>
          <w:tcPr>
            <w:tcW w:w="4695" w:type="dxa"/>
            <w:vAlign w:val="center"/>
            <w:hideMark/>
          </w:tcPr>
          <w:p w:rsidR="003F357C" w:rsidRDefault="003F357C">
            <w:pPr>
              <w:rPr>
                <w:sz w:val="24"/>
                <w:szCs w:val="24"/>
              </w:rPr>
            </w:pPr>
            <w:r>
              <w:t>   </w:t>
            </w:r>
          </w:p>
        </w:tc>
        <w:tc>
          <w:tcPr>
            <w:tcW w:w="240" w:type="dxa"/>
            <w:vAlign w:val="center"/>
            <w:hideMark/>
          </w:tcPr>
          <w:p w:rsidR="003F357C" w:rsidRDefault="003F357C"/>
        </w:tc>
      </w:tr>
    </w:tbl>
    <w:p w:rsidR="00AE1DB9" w:rsidRPr="003F357C" w:rsidRDefault="00AE1DB9" w:rsidP="003F357C">
      <w:bookmarkStart w:id="1" w:name="_GoBack"/>
      <w:bookmarkEnd w:id="1"/>
    </w:p>
    <w:sectPr w:rsidR="00AE1DB9" w:rsidRPr="003F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3F357C"/>
    <w:rsid w:val="004A746D"/>
    <w:rsid w:val="006841AA"/>
    <w:rsid w:val="006B4FE0"/>
    <w:rsid w:val="00AE1DB9"/>
    <w:rsid w:val="00E2233C"/>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02/poll20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202/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02/analysi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202/result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2019-03-05T12:49:00Z</dcterms:created>
  <dcterms:modified xsi:type="dcterms:W3CDTF">2019-03-05T13:07:00Z</dcterms:modified>
</cp:coreProperties>
</file>