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ED" w:rsidRDefault="00A96FED" w:rsidP="00A96FED">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9" name="Rectangle 9"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87178" id="Rectangle 9"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LInq7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2952"/>
        <w:gridCol w:w="1886"/>
        <w:gridCol w:w="4449"/>
        <w:gridCol w:w="37"/>
      </w:tblGrid>
      <w:tr w:rsidR="00A96FED" w:rsidTr="00A96FED">
        <w:trPr>
          <w:trHeight w:val="345"/>
          <w:tblCellSpacing w:w="0" w:type="dxa"/>
          <w:jc w:val="center"/>
        </w:trPr>
        <w:tc>
          <w:tcPr>
            <w:tcW w:w="300" w:type="dxa"/>
            <w:vAlign w:val="center"/>
            <w:hideMark/>
          </w:tcPr>
          <w:p w:rsidR="00A96FED" w:rsidRDefault="00A96FED">
            <w:r>
              <w:t> </w:t>
            </w:r>
          </w:p>
        </w:tc>
        <w:tc>
          <w:tcPr>
            <w:tcW w:w="1500" w:type="pct"/>
            <w:vAlign w:val="center"/>
            <w:hideMark/>
          </w:tcPr>
          <w:p w:rsidR="00A96FED" w:rsidRDefault="00A96FED">
            <w:r>
              <w:rPr>
                <w:rFonts w:ascii="Arial" w:hAnsi="Arial" w:cs="Arial"/>
              </w:rPr>
              <w:t>   </w:t>
            </w:r>
          </w:p>
        </w:tc>
        <w:tc>
          <w:tcPr>
            <w:tcW w:w="150" w:type="dxa"/>
            <w:vAlign w:val="center"/>
            <w:hideMark/>
          </w:tcPr>
          <w:p w:rsidR="00A96FED" w:rsidRDefault="00A96FED"/>
        </w:tc>
        <w:tc>
          <w:tcPr>
            <w:tcW w:w="0" w:type="auto"/>
            <w:vAlign w:val="center"/>
            <w:hideMark/>
          </w:tcPr>
          <w:p w:rsidR="00A96FED" w:rsidRDefault="00A96FED">
            <w:pPr>
              <w:rPr>
                <w:sz w:val="24"/>
                <w:szCs w:val="24"/>
              </w:rPr>
            </w:pPr>
            <w:r>
              <w:rPr>
                <w:rFonts w:ascii="Arial" w:hAnsi="Arial" w:cs="Arial"/>
              </w:rPr>
              <w:t>   </w:t>
            </w:r>
          </w:p>
        </w:tc>
        <w:tc>
          <w:tcPr>
            <w:tcW w:w="300" w:type="dxa"/>
            <w:vAlign w:val="center"/>
            <w:hideMark/>
          </w:tcPr>
          <w:p w:rsidR="00A96FED" w:rsidRDefault="00A96FED"/>
        </w:tc>
      </w:tr>
      <w:tr w:rsidR="00A96FED" w:rsidTr="00A96FED">
        <w:trPr>
          <w:tblCellSpacing w:w="0" w:type="dxa"/>
          <w:jc w:val="center"/>
        </w:trPr>
        <w:tc>
          <w:tcPr>
            <w:tcW w:w="300" w:type="dxa"/>
            <w:vAlign w:val="center"/>
            <w:hideMark/>
          </w:tcPr>
          <w:p w:rsidR="00A96FED" w:rsidRDefault="00A96FED">
            <w:pPr>
              <w:rPr>
                <w:sz w:val="24"/>
                <w:szCs w:val="24"/>
              </w:rPr>
            </w:pPr>
            <w:r>
              <w:t> </w:t>
            </w:r>
          </w:p>
        </w:tc>
        <w:tc>
          <w:tcPr>
            <w:tcW w:w="0" w:type="auto"/>
            <w:gridSpan w:val="3"/>
            <w:hideMark/>
          </w:tcPr>
          <w:p w:rsidR="00A96FED" w:rsidRDefault="00A96FED" w:rsidP="00A96FED">
            <w:hyperlink r:id="rId5" w:history="1">
              <w:r>
                <w:rPr>
                  <w:rStyle w:val="Hyperlink"/>
                  <w:rFonts w:ascii="Arial" w:hAnsi="Arial" w:cs="Arial"/>
                </w:rPr>
                <w:t>Opinion Polls</w:t>
              </w:r>
            </w:hyperlink>
          </w:p>
          <w:p w:rsidR="00A96FED" w:rsidRDefault="00A96FED" w:rsidP="00A96FED">
            <w:pPr>
              <w:jc w:val="center"/>
            </w:pPr>
            <w:r>
              <w:t> </w:t>
            </w:r>
          </w:p>
          <w:p w:rsidR="00A96FED" w:rsidRDefault="00A96FED" w:rsidP="00A96FED">
            <w:pPr>
              <w:jc w:val="center"/>
            </w:pPr>
            <w:r w:rsidRPr="00A96FED">
              <w:rPr>
                <w:b/>
                <w:bCs/>
                <w:color w:val="006666"/>
                <w:sz w:val="27"/>
                <w:szCs w:val="27"/>
                <w14:shadow w14:blurRad="50800" w14:dist="38100" w14:dir="2700000" w14:sx="100000" w14:sy="100000" w14:kx="0" w14:ky="0" w14:algn="tl">
                  <w14:srgbClr w14:val="000000">
                    <w14:alpha w14:val="60000"/>
                  </w14:srgbClr>
                </w14:shadow>
              </w:rPr>
              <w:t>Poll No. 11</w:t>
            </w:r>
          </w:p>
          <w:p w:rsidR="00A96FED" w:rsidRDefault="00A96FED" w:rsidP="00A96FED">
            <w:r>
              <w:rPr>
                <w:b/>
                <w:bCs/>
                <w:color w:val="2E5C5C"/>
              </w:rPr>
              <w:t xml:space="preserve">                                                            </w:t>
            </w:r>
          </w:p>
          <w:p w:rsidR="00A96FED" w:rsidRDefault="00A96FED">
            <w:r>
              <w:br/>
            </w:r>
            <w:r>
              <w:rPr>
                <w:b/>
                <w:bCs/>
              </w:rPr>
              <w:t>                                                [</w:t>
            </w:r>
            <w:hyperlink r:id="rId6" w:history="1">
              <w:r>
                <w:rPr>
                  <w:rStyle w:val="Hyperlink"/>
                  <w:b/>
                  <w:bCs/>
                </w:rPr>
                <w:t>Analysis of Results</w:t>
              </w:r>
            </w:hyperlink>
            <w:r>
              <w:rPr>
                <w:b/>
                <w:bCs/>
              </w:rPr>
              <w:t>] | [</w:t>
            </w:r>
            <w:hyperlink r:id="rId7" w:history="1">
              <w:r>
                <w:rPr>
                  <w:rStyle w:val="Hyperlink"/>
                  <w:b/>
                  <w:bCs/>
                </w:rPr>
                <w:t>Detailed Results</w:t>
              </w:r>
            </w:hyperlink>
            <w:r>
              <w:rPr>
                <w:b/>
                <w:bCs/>
              </w:rPr>
              <w:t>] | [</w:t>
            </w:r>
            <w:hyperlink r:id="rId8" w:history="1">
              <w:r>
                <w:rPr>
                  <w:rStyle w:val="Hyperlink"/>
                  <w:b/>
                  <w:bCs/>
                </w:rPr>
                <w:t>PDF Format</w:t>
              </w:r>
            </w:hyperlink>
            <w:r>
              <w:rPr>
                <w:b/>
                <w:bCs/>
              </w:rPr>
              <w:t xml:space="preserve"> ] | [</w:t>
            </w:r>
            <w:hyperlink r:id="rId9" w:history="1">
              <w:r>
                <w:rPr>
                  <w:rStyle w:val="Hyperlink"/>
                  <w:rFonts w:hint="cs"/>
                  <w:rtl/>
                </w:rPr>
                <w:t>باللغة العربية</w:t>
              </w:r>
            </w:hyperlink>
            <w:r>
              <w:rPr>
                <w:b/>
                <w:bCs/>
              </w:rPr>
              <w:t>]</w:t>
            </w:r>
          </w:p>
          <w:p w:rsidR="00A96FED" w:rsidRDefault="00A96FED">
            <w:r>
              <w:pict>
                <v:rect id="_x0000_i1030" style="width:351pt;height:1.5pt" o:hrpct="750" o:hralign="center" o:hrstd="t" o:hr="t" fillcolor="#a0a0a0" stroked="f"/>
              </w:pict>
            </w:r>
          </w:p>
          <w:p w:rsidR="00A96FED" w:rsidRDefault="00A96FED">
            <w:pPr>
              <w:bidi/>
              <w:jc w:val="right"/>
            </w:pPr>
            <w:r>
              <w:rPr>
                <w:rtl/>
              </w:rPr>
              <w:t> </w:t>
            </w:r>
          </w:p>
          <w:p w:rsidR="00A96FED" w:rsidRDefault="00A96FED">
            <w:pPr>
              <w:bidi/>
              <w:jc w:val="right"/>
              <w:rPr>
                <w:rtl/>
              </w:rPr>
            </w:pPr>
            <w:r>
              <w:rPr>
                <w:rtl/>
              </w:rPr>
              <w:t> </w:t>
            </w:r>
          </w:p>
          <w:tbl>
            <w:tblPr>
              <w:tblW w:w="12375" w:type="dxa"/>
              <w:tblCellMar>
                <w:left w:w="0" w:type="dxa"/>
                <w:right w:w="0" w:type="dxa"/>
              </w:tblCellMar>
              <w:tblLook w:val="04A0" w:firstRow="1" w:lastRow="0" w:firstColumn="1" w:lastColumn="0" w:noHBand="0" w:noVBand="1"/>
            </w:tblPr>
            <w:tblGrid>
              <w:gridCol w:w="12375"/>
            </w:tblGrid>
            <w:tr w:rsidR="00A96FED">
              <w:tc>
                <w:tcPr>
                  <w:tcW w:w="12375"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A96FED" w:rsidTr="00A96FED">
                    <w:tc>
                      <w:tcPr>
                        <w:tcW w:w="0" w:type="auto"/>
                        <w:tcBorders>
                          <w:top w:val="nil"/>
                          <w:left w:val="nil"/>
                          <w:bottom w:val="nil"/>
                          <w:right w:val="nil"/>
                        </w:tcBorders>
                        <w:vAlign w:val="center"/>
                        <w:hideMark/>
                      </w:tcPr>
                      <w:p w:rsidR="00A96FED" w:rsidRDefault="00A96FED">
                        <w:pPr>
                          <w:jc w:val="center"/>
                          <w:rPr>
                            <w:rtl/>
                          </w:rPr>
                        </w:pPr>
                        <w:bookmarkStart w:id="1" w:name="Summary"/>
                        <w:r>
                          <w:rPr>
                            <w:b/>
                            <w:bCs/>
                            <w:u w:val="single"/>
                          </w:rPr>
                          <w:t>Summary of Results</w:t>
                        </w:r>
                        <w:bookmarkEnd w:id="1"/>
                      </w:p>
                      <w:p w:rsidR="00A96FED" w:rsidRDefault="00A96FED">
                        <w:r>
                          <w:t> </w:t>
                        </w:r>
                      </w:p>
                      <w:p w:rsidR="00A96FED" w:rsidRDefault="00A96FED">
                        <w:r>
                          <w:t> </w:t>
                        </w:r>
                      </w:p>
                      <w:p w:rsidR="00A96FED" w:rsidRDefault="00A96FED">
                        <w:r>
                          <w:rPr>
                            <w:b/>
                            <w:bCs/>
                            <w:u w:val="single"/>
                          </w:rPr>
                          <w:t>Deteriorating living conditions</w:t>
                        </w:r>
                        <w:r>
                          <w:t xml:space="preserve">: </w:t>
                        </w:r>
                      </w:p>
                      <w:p w:rsidR="00A96FED" w:rsidRDefault="00A96FED">
                        <w:r>
                          <w:t xml:space="preserve">The results of this poll reveal further deterioration in Palestinian living conditions in the last two years. For example, a majority declares that their family's monthly incomes are less than $420. This implies that 77% of the families have a daily income per person ranging between (10 Cents) and ($2.1). </w:t>
                        </w:r>
                      </w:p>
                      <w:p w:rsidR="00A96FED" w:rsidRDefault="00A96FED">
                        <w:r>
                          <w:t> </w:t>
                        </w:r>
                      </w:p>
                      <w:p w:rsidR="00A96FED" w:rsidRDefault="00A96FED">
                        <w:r>
                          <w:rPr>
                            <w:b/>
                            <w:bCs/>
                            <w:u w:val="single"/>
                          </w:rPr>
                          <w:t>Expect a better life for children</w:t>
                        </w:r>
                        <w:r>
                          <w:t xml:space="preserve">: </w:t>
                        </w:r>
                      </w:p>
                      <w:p w:rsidR="00A96FED" w:rsidRDefault="00A96FED">
                        <w:r>
                          <w:t>A large segment of the respondents feel that their lives are worse than their parents, at the same time they expect a better life for their children.</w:t>
                        </w:r>
                      </w:p>
                      <w:p w:rsidR="00A96FED" w:rsidRDefault="00A96FED">
                        <w:r>
                          <w:t> </w:t>
                        </w:r>
                      </w:p>
                      <w:p w:rsidR="00A96FED" w:rsidRDefault="00A96FED">
                        <w:r>
                          <w:rPr>
                            <w:b/>
                            <w:bCs/>
                            <w:u w:val="single"/>
                          </w:rPr>
                          <w:t>Reliance on family kinship</w:t>
                        </w:r>
                        <w:r>
                          <w:t xml:space="preserve">: </w:t>
                        </w:r>
                      </w:p>
                      <w:p w:rsidR="00A96FED" w:rsidRDefault="00A96FED">
                        <w:r>
                          <w:t xml:space="preserve">- The results reveal that Palestinians say that that are reliant on family institutions for personal protection and support. They also say that governmental institutions are important in case of need for education, health services, or in the event of serious crime. </w:t>
                        </w:r>
                      </w:p>
                      <w:p w:rsidR="00A96FED" w:rsidRDefault="00A96FED">
                        <w:r>
                          <w:t> </w:t>
                        </w:r>
                      </w:p>
                      <w:p w:rsidR="00A96FED" w:rsidRDefault="00A96FED">
                        <w:r>
                          <w:t>- In reality however, United Nations Relief and Works Agency (UNRWA) constituted a critical support institution for the residents - especially in Gaza (due to the fact that about 75% of Gaza residents are refugees). Non - governmental organizations also played a major part in the delivery of assistance to the needy.</w:t>
                        </w:r>
                      </w:p>
                      <w:p w:rsidR="00A96FED" w:rsidRDefault="00A96FED">
                        <w:r>
                          <w:lastRenderedPageBreak/>
                          <w:t> </w:t>
                        </w:r>
                      </w:p>
                      <w:p w:rsidR="00A96FED" w:rsidRDefault="00A96FED">
                        <w:r>
                          <w:rPr>
                            <w:b/>
                            <w:bCs/>
                            <w:u w:val="single"/>
                          </w:rPr>
                          <w:t>Concern with rising social problems</w:t>
                        </w:r>
                        <w:r>
                          <w:t xml:space="preserve">: </w:t>
                        </w:r>
                      </w:p>
                      <w:p w:rsidR="00A96FED" w:rsidRDefault="00A96FED">
                        <w:r>
                          <w:t>Palestinians view monopoly and exaggerated prices of goods as very critical social problems. Violence and theft also alarmed them. Fear of corruption is also widespread.</w:t>
                        </w:r>
                      </w:p>
                      <w:p w:rsidR="00A96FED" w:rsidRDefault="00A96FED">
                        <w:r>
                          <w:t> </w:t>
                        </w:r>
                      </w:p>
                      <w:p w:rsidR="00A96FED" w:rsidRDefault="00A96FED">
                        <w:r>
                          <w:rPr>
                            <w:b/>
                            <w:bCs/>
                            <w:u w:val="single"/>
                          </w:rPr>
                          <w:t>Educational institutions are most trusted</w:t>
                        </w:r>
                        <w:r>
                          <w:t xml:space="preserve">: </w:t>
                        </w:r>
                      </w:p>
                      <w:p w:rsidR="00A96FED" w:rsidRDefault="00A96FED">
                        <w:r>
                          <w:t xml:space="preserve">When asked to evaluate various institutions, schools, universities, and health institutions received the highest marks. The PNA, political groups, the opposition, and the Palestinian Legislative Council received the lowest ratings. </w:t>
                        </w:r>
                      </w:p>
                      <w:p w:rsidR="00A96FED" w:rsidRDefault="00A96FED">
                        <w:r>
                          <w:t> </w:t>
                        </w:r>
                      </w:p>
                      <w:p w:rsidR="00A96FED" w:rsidRDefault="00A96FED">
                        <w:r>
                          <w:rPr>
                            <w:b/>
                            <w:bCs/>
                            <w:u w:val="single"/>
                          </w:rPr>
                          <w:t>Reform as necessary</w:t>
                        </w:r>
                        <w:r>
                          <w:t xml:space="preserve">: </w:t>
                        </w:r>
                      </w:p>
                      <w:p w:rsidR="00A96FED" w:rsidRDefault="00A96FED">
                        <w:r>
                          <w:t xml:space="preserve">In addition to ending the Occupation, respondents believe that reforming PNA institutions, local councils, NGOs, international donor organizations, and UNRWA is vital to the advancement of Palestinian society.  </w:t>
                        </w:r>
                      </w:p>
                      <w:p w:rsidR="00A96FED" w:rsidRDefault="00A96FED">
                        <w:r>
                          <w:t> </w:t>
                        </w:r>
                      </w:p>
                      <w:p w:rsidR="00A96FED" w:rsidRDefault="00A96FED">
                        <w:r>
                          <w:t> </w:t>
                        </w:r>
                      </w:p>
                      <w:p w:rsidR="00A96FED" w:rsidRDefault="00A96FED">
                        <w:r>
                          <w:pict>
                            <v:rect id="_x0000_i1031" style="width:0;height:1.5pt" o:hralign="center" o:hrstd="t" o:hr="t" fillcolor="#a0a0a0" stroked="f"/>
                          </w:pict>
                        </w:r>
                      </w:p>
                      <w:p w:rsidR="00A96FED" w:rsidRDefault="00A96FED">
                        <w:pPr>
                          <w:jc w:val="center"/>
                        </w:pPr>
                        <w:bookmarkStart w:id="2" w:name="Detailed"/>
                        <w:r>
                          <w:rPr>
                            <w:b/>
                            <w:bCs/>
                            <w:u w:val="single"/>
                          </w:rPr>
                          <w:t>Detailed Analysis</w:t>
                        </w:r>
                        <w:bookmarkEnd w:id="2"/>
                      </w:p>
                      <w:p w:rsidR="00A96FED" w:rsidRDefault="00A96FED">
                        <w:r>
                          <w:t> </w:t>
                        </w:r>
                      </w:p>
                      <w:p w:rsidR="00A96FED" w:rsidRDefault="00A96FED">
                        <w:r>
                          <w:rPr>
                            <w:b/>
                            <w:bCs/>
                            <w:u w:val="single"/>
                          </w:rPr>
                          <w:t>1. Deteriorating Living Conditions</w:t>
                        </w:r>
                      </w:p>
                      <w:p w:rsidR="00A96FED" w:rsidRDefault="00A96FED">
                        <w:r>
                          <w:t> </w:t>
                        </w:r>
                      </w:p>
                      <w:p w:rsidR="00A96FED" w:rsidRDefault="00A96FED">
                        <w:r>
                          <w:t>The results show deterioration in Palestinian living conditions:</w:t>
                        </w:r>
                      </w:p>
                      <w:p w:rsidR="00A96FED" w:rsidRDefault="00A96FED">
                        <w:r>
                          <w:t> </w:t>
                        </w:r>
                      </w:p>
                      <w:p w:rsidR="00A96FED" w:rsidRDefault="00A96FED" w:rsidP="00A96FED">
                        <w:pPr>
                          <w:numPr>
                            <w:ilvl w:val="0"/>
                            <w:numId w:val="44"/>
                          </w:numPr>
                          <w:spacing w:after="0" w:line="240" w:lineRule="auto"/>
                        </w:pPr>
                        <w:r>
                          <w:t xml:space="preserve">Over 82% say that their family's living conditions have deteriorated in the past two years. In contrast, 3% say that their conditions have improved. In addition, 15% say that there is no change. </w:t>
                        </w:r>
                      </w:p>
                      <w:p w:rsidR="00A96FED" w:rsidRDefault="00A96FED" w:rsidP="00A96FED">
                        <w:pPr>
                          <w:numPr>
                            <w:ilvl w:val="0"/>
                            <w:numId w:val="44"/>
                          </w:numPr>
                          <w:spacing w:after="0" w:line="240" w:lineRule="auto"/>
                        </w:pPr>
                        <w:r>
                          <w:t>In excess of 77% of the respondents say that the income of their families is less than $420. This implies that 77% of the families have a daily income ranging between (10 Cents) and ($2.1) per person (in an average household - the average household size in the West Bank and Gaza is 6.5). About 18% say that the income of their families is between $420 and $840.</w:t>
                        </w:r>
                      </w:p>
                      <w:p w:rsidR="00A96FED" w:rsidRDefault="00A96FED" w:rsidP="00A96FED">
                        <w:pPr>
                          <w:numPr>
                            <w:ilvl w:val="0"/>
                            <w:numId w:val="44"/>
                          </w:numPr>
                          <w:spacing w:after="0" w:line="240" w:lineRule="auto"/>
                        </w:pPr>
                        <w:r>
                          <w:t> About 50% described their family economic status as "bad or very bad" (a 10 point increase from February 2002). In addition, 37% say that their family economic status is (fair). Only 14% say that it is (good or very good).</w:t>
                        </w:r>
                      </w:p>
                      <w:p w:rsidR="00A96FED" w:rsidRDefault="00A96FED" w:rsidP="00A96FED">
                        <w:pPr>
                          <w:numPr>
                            <w:ilvl w:val="0"/>
                            <w:numId w:val="44"/>
                          </w:numPr>
                          <w:spacing w:after="0" w:line="240" w:lineRule="auto"/>
                        </w:pPr>
                        <w:r>
                          <w:t>As to their expectations for the rest of this year, 41% expect further deterioration in their income, 21% expect improvement, while 30% expect no change.</w:t>
                        </w:r>
                      </w:p>
                      <w:p w:rsidR="00A96FED" w:rsidRDefault="00A96FED" w:rsidP="00A96FED">
                        <w:pPr>
                          <w:numPr>
                            <w:ilvl w:val="0"/>
                            <w:numId w:val="44"/>
                          </w:numPr>
                          <w:spacing w:after="0" w:line="240" w:lineRule="auto"/>
                        </w:pPr>
                        <w:r>
                          <w:t>It was noticeable that West Bank respondents were more uncertain than Gazans about their incomes for the rest of the year. About 46% of West Bank respondents expect that their income will deteriorate, while 34% expect the same in Gaza.</w:t>
                        </w:r>
                      </w:p>
                      <w:p w:rsidR="00A96FED" w:rsidRDefault="00A96FED" w:rsidP="00A96FED">
                        <w:pPr>
                          <w:numPr>
                            <w:ilvl w:val="0"/>
                            <w:numId w:val="44"/>
                          </w:numPr>
                          <w:spacing w:after="0" w:line="240" w:lineRule="auto"/>
                        </w:pPr>
                        <w:r>
                          <w:t>In terms of family disputes within the household, it is interesting to find that 33% of the respondents report an increase in the last two years. Only, 6% say that disputes have declined.</w:t>
                        </w:r>
                      </w:p>
                      <w:p w:rsidR="00A96FED" w:rsidRDefault="00A96FED">
                        <w:pPr>
                          <w:pStyle w:val="NormalWeb"/>
                        </w:pPr>
                        <w:r>
                          <w:rPr>
                            <w:noProof/>
                          </w:rPr>
                          <w:lastRenderedPageBreak/>
                          <w:drawing>
                            <wp:inline distT="0" distB="0" distL="0" distR="0">
                              <wp:extent cx="5286375" cy="1847850"/>
                              <wp:effectExtent l="0" t="0" r="0" b="0"/>
                              <wp:docPr id="8" name="Picture 8" descr="http://home.birzeit.edu/cds/opinionpolls/poll11/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birzeit.edu/cds/opinionpolls/poll11/analysis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1847850"/>
                                      </a:xfrm>
                                      <a:prstGeom prst="rect">
                                        <a:avLst/>
                                      </a:prstGeom>
                                      <a:noFill/>
                                      <a:ln>
                                        <a:noFill/>
                                      </a:ln>
                                    </pic:spPr>
                                  </pic:pic>
                                </a:graphicData>
                              </a:graphic>
                            </wp:inline>
                          </w:drawing>
                        </w:r>
                      </w:p>
                      <w:p w:rsidR="00A96FED" w:rsidRDefault="00A96FED">
                        <w:r>
                          <w:rPr>
                            <w:b/>
                            <w:bCs/>
                            <w:u w:val="single"/>
                          </w:rPr>
                          <w:t>2. Views of the Past, the Present, and the Future</w:t>
                        </w:r>
                      </w:p>
                      <w:p w:rsidR="00A96FED" w:rsidRDefault="00A96FED">
                        <w:r>
                          <w:t> </w:t>
                        </w:r>
                      </w:p>
                      <w:p w:rsidR="00A96FED" w:rsidRDefault="00A96FED">
                        <w:r>
                          <w:t>When asked to compare their living conditions with those of their parents:</w:t>
                        </w:r>
                      </w:p>
                      <w:p w:rsidR="00A96FED" w:rsidRDefault="00A96FED">
                        <w:r>
                          <w:t> </w:t>
                        </w:r>
                      </w:p>
                      <w:p w:rsidR="00A96FED" w:rsidRDefault="00A96FED" w:rsidP="00A96FED">
                        <w:pPr>
                          <w:numPr>
                            <w:ilvl w:val="0"/>
                            <w:numId w:val="45"/>
                          </w:numPr>
                          <w:spacing w:after="0" w:line="240" w:lineRule="auto"/>
                        </w:pPr>
                        <w:r>
                          <w:t>44% say that their parents lived better. About 31% disagree, while 23% say that their living conditions are about the same as those of their parents.</w:t>
                        </w:r>
                      </w:p>
                      <w:p w:rsidR="00A96FED" w:rsidRDefault="00A96FED" w:rsidP="00A96FED">
                        <w:pPr>
                          <w:numPr>
                            <w:ilvl w:val="0"/>
                            <w:numId w:val="45"/>
                          </w:numPr>
                          <w:spacing w:after="0" w:line="240" w:lineRule="auto"/>
                        </w:pPr>
                        <w:r>
                          <w:t>When asked about their expectations for how their children will live, 51% expected their children would live better than they live. This is compared with 24% who say that they expect that their children will be worse off. About 12% say that the lives of their children will be the same as their own lives.</w:t>
                        </w:r>
                      </w:p>
                      <w:p w:rsidR="00A96FED" w:rsidRDefault="00A96FED" w:rsidP="00A96FED">
                        <w:pPr>
                          <w:numPr>
                            <w:ilvl w:val="0"/>
                            <w:numId w:val="45"/>
                          </w:numPr>
                          <w:spacing w:after="0" w:line="240" w:lineRule="auto"/>
                        </w:pPr>
                        <w:r>
                          <w:t>Regardless of these opinions, the majority of respondents hold to an optimistic view of the future, as 67% say that they are optimistic, compared with 33% who say that they are pessimistic.</w:t>
                        </w:r>
                      </w:p>
                      <w:p w:rsidR="00A96FED" w:rsidRDefault="00A96FED">
                        <w:r>
                          <w:t xml:space="preserve">                      </w:t>
                        </w:r>
                        <w:r>
                          <w:rPr>
                            <w:noProof/>
                          </w:rPr>
                          <w:drawing>
                            <wp:inline distT="0" distB="0" distL="0" distR="0">
                              <wp:extent cx="1609725" cy="333375"/>
                              <wp:effectExtent l="0" t="0" r="9525" b="9525"/>
                              <wp:docPr id="7" name="Picture 7" descr="Text Box: Hope for the fut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 Box: Hope for the future&#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A96FED" w:rsidRDefault="00A96FED">
                        <w:r>
                          <w:rPr>
                            <w:noProof/>
                          </w:rPr>
                          <w:lastRenderedPageBreak/>
                          <w:drawing>
                            <wp:inline distT="0" distB="0" distL="0" distR="0">
                              <wp:extent cx="5991225" cy="3209925"/>
                              <wp:effectExtent l="0" t="0" r="0" b="0"/>
                              <wp:docPr id="6" name="Picture 6" descr="http://home.birzeit.edu/cds/opinionpolls/poll11/analysis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birzeit.edu/cds/opinionpolls/poll11/analysis_files/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3209925"/>
                                      </a:xfrm>
                                      <a:prstGeom prst="rect">
                                        <a:avLst/>
                                      </a:prstGeom>
                                      <a:noFill/>
                                      <a:ln>
                                        <a:noFill/>
                                      </a:ln>
                                    </pic:spPr>
                                  </pic:pic>
                                </a:graphicData>
                              </a:graphic>
                            </wp:inline>
                          </w:drawing>
                        </w:r>
                        <w:r>
                          <w:br w:type="textWrapping" w:clear="all"/>
                          <w:t> </w:t>
                        </w:r>
                      </w:p>
                      <w:p w:rsidR="00A96FED" w:rsidRDefault="00A96FED">
                        <w:r>
                          <w:t> </w:t>
                        </w:r>
                      </w:p>
                      <w:p w:rsidR="00A96FED" w:rsidRDefault="00A96FED">
                        <w:r>
                          <w:br w:type="textWrapping" w:clear="all"/>
                        </w:r>
                        <w:r>
                          <w:rPr>
                            <w:b/>
                            <w:bCs/>
                            <w:u w:val="single"/>
                          </w:rPr>
                          <w:t>3. Sources of Support</w:t>
                        </w:r>
                      </w:p>
                      <w:p w:rsidR="00A96FED" w:rsidRDefault="00A96FED">
                        <w:r>
                          <w:t> </w:t>
                        </w:r>
                      </w:p>
                      <w:p w:rsidR="00A96FED" w:rsidRDefault="00A96FED">
                        <w:r>
                          <w:t xml:space="preserve">Where would Palestinians go to for various types of support? </w:t>
                        </w:r>
                      </w:p>
                      <w:p w:rsidR="00A96FED" w:rsidRDefault="00A96FED">
                        <w:r>
                          <w:t> </w:t>
                        </w:r>
                      </w:p>
                      <w:p w:rsidR="00A96FED" w:rsidRDefault="00A96FED">
                        <w:r>
                          <w:t xml:space="preserve">* Palestinians say that family kinship and other informal networks form important support networks especially with the declining role of governmental institutions. </w:t>
                        </w:r>
                      </w:p>
                      <w:p w:rsidR="00A96FED" w:rsidRDefault="00A96FED">
                        <w:r>
                          <w:t xml:space="preserve">* When asked where would they go to for support, 71% of the respondents say that they would go to their family in case they were part of a dispute with another family. </w:t>
                        </w:r>
                      </w:p>
                      <w:p w:rsidR="00A96FED" w:rsidRDefault="00A96FED">
                        <w:r>
                          <w:t xml:space="preserve">* In addition, 53% say that they would rely upon their families in case they were personally assaulted. </w:t>
                        </w:r>
                      </w:p>
                      <w:p w:rsidR="00A96FED" w:rsidRDefault="00A96FED">
                        <w:r>
                          <w:t xml:space="preserve">* Another 41% would go to their families to obtain financial assistance to meet their living needs. </w:t>
                        </w:r>
                      </w:p>
                      <w:p w:rsidR="00A96FED" w:rsidRDefault="00A96FED">
                        <w:r>
                          <w:rPr>
                            <w:noProof/>
                          </w:rPr>
                          <w:lastRenderedPageBreak/>
                          <w:drawing>
                            <wp:inline distT="0" distB="0" distL="0" distR="0">
                              <wp:extent cx="6210300" cy="3105150"/>
                              <wp:effectExtent l="0" t="0" r="0" b="0"/>
                              <wp:docPr id="5" name="Picture 5" descr="http://home.birzeit.edu/cds/opinionpolls/poll11/analysis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me.birzeit.edu/cds/opinionpolls/poll11/analysis_files/image0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3105150"/>
                                      </a:xfrm>
                                      <a:prstGeom prst="rect">
                                        <a:avLst/>
                                      </a:prstGeom>
                                      <a:noFill/>
                                      <a:ln>
                                        <a:noFill/>
                                      </a:ln>
                                    </pic:spPr>
                                  </pic:pic>
                                </a:graphicData>
                              </a:graphic>
                            </wp:inline>
                          </w:drawing>
                        </w:r>
                      </w:p>
                      <w:p w:rsidR="00A96FED" w:rsidRDefault="00A96FED">
                        <w:r>
                          <w:t xml:space="preserve">* In contrast, 73% would resort to governmental institutions in case their homes were exposed to burglary. </w:t>
                        </w:r>
                      </w:p>
                      <w:p w:rsidR="00A96FED" w:rsidRDefault="00A96FED">
                        <w:r>
                          <w:t xml:space="preserve">* Half of the respondents say that they would go governmental institutions for medical services. </w:t>
                        </w:r>
                      </w:p>
                      <w:p w:rsidR="00A96FED" w:rsidRDefault="00A96FED">
                        <w:r>
                          <w:t> </w:t>
                        </w:r>
                      </w:p>
                      <w:p w:rsidR="00A96FED" w:rsidRDefault="00A96FED">
                        <w:r>
                          <w:t> </w:t>
                        </w:r>
                      </w:p>
                      <w:p w:rsidR="00A96FED" w:rsidRDefault="00A96FED">
                        <w:r>
                          <w:rPr>
                            <w:b/>
                            <w:bCs/>
                            <w:u w:val="single"/>
                          </w:rPr>
                          <w:t>4. UNRWA as a Primary Provider of Assistance</w:t>
                        </w:r>
                      </w:p>
                      <w:p w:rsidR="00A96FED" w:rsidRDefault="00A96FED">
                        <w:r>
                          <w:t> </w:t>
                        </w:r>
                      </w:p>
                      <w:p w:rsidR="00A96FED" w:rsidRDefault="00A96FED">
                        <w:r>
                          <w:t xml:space="preserve">When respondents were asked to report which institution was the primary provider of assistance (cash or in - kind) during the past two years: </w:t>
                        </w:r>
                      </w:p>
                      <w:p w:rsidR="00A96FED" w:rsidRDefault="00A96FED">
                        <w:r>
                          <w:t> </w:t>
                        </w:r>
                      </w:p>
                      <w:p w:rsidR="00A96FED" w:rsidRDefault="00A96FED">
                        <w:r>
                          <w:t xml:space="preserve">* </w:t>
                        </w:r>
                        <w:r>
                          <w:rPr>
                            <w:u w:val="single"/>
                          </w:rPr>
                          <w:t>From the total sample</w:t>
                        </w:r>
                        <w:r>
                          <w:t xml:space="preserve">, 19% say that they received assistance from UNRWA. </w:t>
                        </w:r>
                      </w:p>
                      <w:p w:rsidR="00A96FED" w:rsidRDefault="00A96FED">
                        <w:r>
                          <w:t xml:space="preserve">* Another 16% received assistance from NGOs. </w:t>
                        </w:r>
                      </w:p>
                      <w:p w:rsidR="00A96FED" w:rsidRDefault="00A96FED">
                        <w:r>
                          <w:t xml:space="preserve">* About 10% from governmental institutions. </w:t>
                        </w:r>
                      </w:p>
                      <w:p w:rsidR="00A96FED" w:rsidRDefault="00A96FED">
                        <w:r>
                          <w:t xml:space="preserve">* In contrast, only 5% received assistance from family kinship. </w:t>
                        </w:r>
                      </w:p>
                      <w:p w:rsidR="00A96FED" w:rsidRDefault="00A96FED">
                        <w:r>
                          <w:t xml:space="preserve">* At the same time, 45% reported that they did not receive any assistance from any institution. </w:t>
                        </w:r>
                      </w:p>
                      <w:p w:rsidR="00A96FED" w:rsidRDefault="00A96FED">
                        <w:r>
                          <w:t> </w:t>
                        </w:r>
                      </w:p>
                      <w:p w:rsidR="00A96FED" w:rsidRDefault="00A96FED">
                        <w:r>
                          <w:t> </w:t>
                        </w:r>
                      </w:p>
                      <w:p w:rsidR="00A96FED" w:rsidRDefault="00A96FED">
                        <w:r>
                          <w:t> </w:t>
                        </w:r>
                      </w:p>
                      <w:p w:rsidR="00A96FED" w:rsidRDefault="00A96FED">
                        <w:r>
                          <w:lastRenderedPageBreak/>
                          <w:t> </w:t>
                        </w:r>
                      </w:p>
                      <w:p w:rsidR="00A96FED" w:rsidRDefault="00A96FED">
                        <w:r>
                          <w:t> </w:t>
                        </w:r>
                      </w:p>
                      <w:p w:rsidR="00A96FED" w:rsidRDefault="00A96FED">
                        <w:r>
                          <w:rPr>
                            <w:noProof/>
                          </w:rPr>
                          <w:drawing>
                            <wp:inline distT="0" distB="0" distL="0" distR="0">
                              <wp:extent cx="5143500" cy="2457450"/>
                              <wp:effectExtent l="0" t="0" r="0" b="0"/>
                              <wp:docPr id="4" name="Picture 4" descr="http://home.birzeit.edu/cds/opinionpolls/poll11/analysis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ome.birzeit.edu/cds/opinionpolls/poll11/analysis_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2457450"/>
                                      </a:xfrm>
                                      <a:prstGeom prst="rect">
                                        <a:avLst/>
                                      </a:prstGeom>
                                      <a:noFill/>
                                      <a:ln>
                                        <a:noFill/>
                                      </a:ln>
                                    </pic:spPr>
                                  </pic:pic>
                                </a:graphicData>
                              </a:graphic>
                            </wp:inline>
                          </w:drawing>
                        </w:r>
                      </w:p>
                      <w:p w:rsidR="00A96FED" w:rsidRDefault="00A96FED">
                        <w:pPr>
                          <w:pStyle w:val="NormalWeb"/>
                          <w:spacing w:before="0" w:beforeAutospacing="0" w:after="0" w:afterAutospacing="0"/>
                        </w:pPr>
                        <w:r>
                          <w:t xml:space="preserve">These data illustrate that, </w:t>
                        </w:r>
                        <w:r>
                          <w:rPr>
                            <w:u w:val="single"/>
                          </w:rPr>
                          <w:t>out of those who actually received assistance</w:t>
                        </w:r>
                        <w:r>
                          <w:t xml:space="preserve"> during the past two years:</w:t>
                        </w:r>
                      </w:p>
                      <w:p w:rsidR="00A96FED" w:rsidRDefault="00A96FED">
                        <w:pPr>
                          <w:pStyle w:val="NormalWeb"/>
                          <w:spacing w:before="0" w:beforeAutospacing="0" w:after="0" w:afterAutospacing="0"/>
                        </w:pPr>
                        <w:r>
                          <w:t> </w:t>
                        </w:r>
                      </w:p>
                      <w:p w:rsidR="00A96FED" w:rsidRDefault="00A96FED">
                        <w:r>
                          <w:t> </w:t>
                        </w:r>
                      </w:p>
                      <w:p w:rsidR="00A96FED" w:rsidRDefault="00A96FED">
                        <w:r>
                          <w:t>* UNRWA was the primary provider for 34% of the households.</w:t>
                        </w:r>
                      </w:p>
                      <w:p w:rsidR="00A96FED" w:rsidRDefault="00A96FED">
                        <w:r>
                          <w:t>* NGOs were primary providers for 29% of the households.</w:t>
                        </w:r>
                      </w:p>
                      <w:p w:rsidR="00A96FED" w:rsidRDefault="00A96FED">
                        <w:r>
                          <w:t>* Government institutions were primary providers for 18% of the households.</w:t>
                        </w:r>
                      </w:p>
                      <w:p w:rsidR="00A96FED" w:rsidRDefault="00A96FED">
                        <w:r>
                          <w:t>* Family kinship was a primary provider in 8% of the cases.</w:t>
                        </w:r>
                      </w:p>
                      <w:p w:rsidR="00A96FED" w:rsidRDefault="00A96FED">
                        <w:r>
                          <w:t>* The rest (11%) reported other organizations.</w:t>
                        </w:r>
                      </w:p>
                      <w:p w:rsidR="00A96FED" w:rsidRDefault="00A96FED">
                        <w:r>
                          <w:t> </w:t>
                        </w:r>
                      </w:p>
                      <w:p w:rsidR="00A96FED" w:rsidRDefault="00A96FED">
                        <w:r>
                          <w:t>A comparison between the West Bank and Gaza reveals stark differences:</w:t>
                        </w:r>
                      </w:p>
                      <w:p w:rsidR="00A96FED" w:rsidRDefault="00A96FED">
                        <w:r>
                          <w:t> </w:t>
                        </w:r>
                      </w:p>
                      <w:p w:rsidR="00A96FED" w:rsidRDefault="00A96FED">
                        <w:r>
                          <w:t>* In general, 61% of Gaza respondents received assistance in the past two years, compared with 50% in the West Bank (probably due to higher poverty rates in Gaza).</w:t>
                        </w:r>
                      </w:p>
                      <w:p w:rsidR="00A96FED" w:rsidRDefault="00A96FED">
                        <w:r>
                          <w:t>* Data in the following table show that UNRWA plays a much more important role in Gaza compared with the West Bank concerning assistance provision, while governmental and non-governmental organizations play a more vital role in the West Bank than in Gaza (Table 1).</w:t>
                        </w:r>
                      </w:p>
                      <w:p w:rsidR="00A96FED" w:rsidRDefault="00A96FED">
                        <w:r>
                          <w:t> </w:t>
                        </w:r>
                      </w:p>
                      <w:tbl>
                        <w:tblPr>
                          <w:tblW w:w="0" w:type="auto"/>
                          <w:tblCellMar>
                            <w:left w:w="0" w:type="dxa"/>
                            <w:right w:w="0" w:type="dxa"/>
                          </w:tblCellMar>
                          <w:tblLook w:val="04A0" w:firstRow="1" w:lastRow="0" w:firstColumn="1" w:lastColumn="0" w:noHBand="0" w:noVBand="1"/>
                        </w:tblPr>
                        <w:tblGrid>
                          <w:gridCol w:w="3001"/>
                          <w:gridCol w:w="3001"/>
                          <w:gridCol w:w="3001"/>
                        </w:tblGrid>
                        <w:tr w:rsidR="00A96FED">
                          <w:trPr>
                            <w:cantSplit/>
                          </w:trPr>
                          <w:tc>
                            <w:tcPr>
                              <w:tcW w:w="900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rPr>
                                  <w:b/>
                                  <w:bCs/>
                                </w:rPr>
                                <w:t>Table 1: Distribution of Recipients of Assistance in the West Ban and Gaza</w:t>
                              </w:r>
                            </w:p>
                          </w:tc>
                        </w:tr>
                        <w:tr w:rsidR="00A96FED">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 </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West Bank</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Gaza</w:t>
                              </w:r>
                            </w:p>
                          </w:tc>
                        </w:tr>
                        <w:tr w:rsidR="00A96FED">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lastRenderedPageBreak/>
                                <w:t>UNRWA</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27%</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43%</w:t>
                              </w:r>
                            </w:p>
                          </w:tc>
                        </w:tr>
                        <w:tr w:rsidR="00A96FED">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NGOS</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31%</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26%</w:t>
                              </w:r>
                            </w:p>
                          </w:tc>
                        </w:tr>
                        <w:tr w:rsidR="00A96FED">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Government</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25%</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12%</w:t>
                              </w:r>
                            </w:p>
                          </w:tc>
                        </w:tr>
                        <w:tr w:rsidR="00A96FED">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Family kinship</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8%</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8%</w:t>
                              </w:r>
                            </w:p>
                          </w:tc>
                        </w:tr>
                      </w:tbl>
                      <w:p w:rsidR="00A96FED" w:rsidRDefault="00A96FED">
                        <w:r>
                          <w:t> </w:t>
                        </w:r>
                      </w:p>
                      <w:p w:rsidR="00A96FED" w:rsidRDefault="00A96FED">
                        <w:r>
                          <w:t> </w:t>
                        </w:r>
                        <w:r>
                          <w:rPr>
                            <w:b/>
                            <w:bCs/>
                            <w:u w:val="single"/>
                          </w:rPr>
                          <w:t>4. Social Problems</w:t>
                        </w:r>
                      </w:p>
                      <w:p w:rsidR="00A96FED" w:rsidRDefault="00A96FED">
                        <w:r>
                          <w:t> </w:t>
                        </w:r>
                      </w:p>
                      <w:p w:rsidR="00A96FED" w:rsidRDefault="00A96FED">
                        <w:r>
                          <w:t>Palestinians are mostly concerned with the following problems (the percentages in brackets represent those who say that these social problems are on the increase):</w:t>
                        </w:r>
                      </w:p>
                      <w:p w:rsidR="00A96FED" w:rsidRDefault="00A96FED">
                        <w:r>
                          <w:t> </w:t>
                        </w:r>
                      </w:p>
                      <w:p w:rsidR="00A96FED" w:rsidRDefault="00A96FED">
                        <w:r>
                          <w:t>* Monopoly over goods and services (80%)</w:t>
                        </w:r>
                      </w:p>
                      <w:p w:rsidR="00A96FED" w:rsidRDefault="00A96FED">
                        <w:r>
                          <w:t xml:space="preserve">* Cheating by merchants (77%) </w:t>
                        </w:r>
                      </w:p>
                      <w:p w:rsidR="00A96FED" w:rsidRDefault="00A96FED">
                        <w:r>
                          <w:t>* Violence within society (75%)</w:t>
                        </w:r>
                      </w:p>
                      <w:p w:rsidR="00A96FED" w:rsidRDefault="00A96FED">
                        <w:r>
                          <w:t>* Traffic violations (75%)</w:t>
                        </w:r>
                      </w:p>
                      <w:p w:rsidR="00A96FED" w:rsidRDefault="00A96FED">
                        <w:r>
                          <w:t>* Theft (73%)</w:t>
                        </w:r>
                      </w:p>
                      <w:p w:rsidR="00A96FED" w:rsidRDefault="00A96FED">
                        <w:r>
                          <w:t>* Disputes among citizens (73%)</w:t>
                        </w:r>
                      </w:p>
                      <w:p w:rsidR="00A96FED" w:rsidRDefault="00A96FED">
                        <w:r>
                          <w:t>* Dropping out of schools (67%)</w:t>
                        </w:r>
                      </w:p>
                      <w:p w:rsidR="00A96FED" w:rsidRDefault="00A96FED">
                        <w:r>
                          <w:t>* Building violations (67%)</w:t>
                        </w:r>
                      </w:p>
                      <w:p w:rsidR="00A96FED" w:rsidRDefault="00A96FED">
                        <w:r>
                          <w:t>* Corruption in PNA institutions (66%)</w:t>
                        </w:r>
                      </w:p>
                      <w:p w:rsidR="00A96FED" w:rsidRDefault="00A96FED">
                        <w:r>
                          <w:t>* Divorce (65%)</w:t>
                        </w:r>
                      </w:p>
                      <w:p w:rsidR="00A96FED" w:rsidRDefault="00A96FED">
                        <w:r>
                          <w:t>* Early marriage (65%)</w:t>
                        </w:r>
                      </w:p>
                      <w:p w:rsidR="00A96FED" w:rsidRDefault="00A96FED">
                        <w:r>
                          <w:t>* Beating of children (62%)</w:t>
                        </w:r>
                      </w:p>
                      <w:p w:rsidR="00A96FED" w:rsidRDefault="00A96FED">
                        <w:r>
                          <w:t>* Beating of women (59%)</w:t>
                        </w:r>
                      </w:p>
                      <w:p w:rsidR="00A96FED" w:rsidRDefault="00A96FED">
                        <w:r>
                          <w:t>* Expired goods (56%)</w:t>
                        </w:r>
                      </w:p>
                      <w:p w:rsidR="00A96FED" w:rsidRDefault="00A96FED">
                        <w:r>
                          <w:t>* Taking over of others' lands (45%)</w:t>
                        </w:r>
                      </w:p>
                      <w:p w:rsidR="00A96FED" w:rsidRDefault="00A96FED">
                        <w:r>
                          <w:t> </w:t>
                        </w:r>
                      </w:p>
                      <w:p w:rsidR="00A96FED" w:rsidRDefault="00A96FED">
                        <w:r>
                          <w:t> </w:t>
                        </w:r>
                      </w:p>
                      <w:p w:rsidR="00A96FED" w:rsidRDefault="00A96FED">
                        <w:r>
                          <w:rPr>
                            <w:b/>
                            <w:bCs/>
                            <w:u w:val="single"/>
                          </w:rPr>
                          <w:t>5. Evaluation of Institutions</w:t>
                        </w:r>
                      </w:p>
                      <w:p w:rsidR="00A96FED" w:rsidRDefault="00A96FED">
                        <w:r>
                          <w:lastRenderedPageBreak/>
                          <w:t> </w:t>
                        </w:r>
                      </w:p>
                      <w:p w:rsidR="00A96FED" w:rsidRDefault="00A96FED">
                        <w:r>
                          <w:t>Palestinians trust educational institutions the most. About 80% say that they trust (schools) and 76% say that they trust (universities). The least trust is in the PNA in general, the PLC, and political groups (as illustrated in the following Table).</w:t>
                        </w:r>
                      </w:p>
                      <w:p w:rsidR="00A96FED" w:rsidRDefault="00A96FED">
                        <w:r>
                          <w:t> </w:t>
                        </w:r>
                      </w:p>
                      <w:tbl>
                        <w:tblPr>
                          <w:tblW w:w="0" w:type="auto"/>
                          <w:tblCellMar>
                            <w:left w:w="0" w:type="dxa"/>
                            <w:right w:w="0" w:type="dxa"/>
                          </w:tblCellMar>
                          <w:tblLook w:val="04A0" w:firstRow="1" w:lastRow="0" w:firstColumn="1" w:lastColumn="0" w:noHBand="0" w:noVBand="1"/>
                        </w:tblPr>
                        <w:tblGrid>
                          <w:gridCol w:w="2250"/>
                          <w:gridCol w:w="2250"/>
                          <w:gridCol w:w="2250"/>
                          <w:gridCol w:w="2250"/>
                        </w:tblGrid>
                        <w:tr w:rsidR="00A96FED">
                          <w:trPr>
                            <w:cantSplit/>
                          </w:trPr>
                          <w:tc>
                            <w:tcPr>
                              <w:tcW w:w="90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rPr>
                                  <w:b/>
                                  <w:bCs/>
                                </w:rPr>
                                <w:t>Table 2: Trust in institutions (% of those who said that they are "trusting")</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1. Schools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8. Security agencies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39%</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2. Universities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76%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9. PNA ministries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38%</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3. Zakat Committees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65%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10. Women's unions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37%</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4. Government health services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59%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11. Workers' Unions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35%</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5. The Police</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47%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12. Palestinian Opposition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34%</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6. Local media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47%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13. PLC</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34%</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7. The Judiciary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42%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14. Political groups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32%</w:t>
                              </w:r>
                            </w:p>
                          </w:tc>
                        </w:tr>
                        <w:tr w:rsidR="00A96FE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FED" w:rsidRDefault="00A96FED">
                              <w: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15. PNA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A96FED" w:rsidRDefault="00A96FED">
                              <w:r>
                                <w:t>32%</w:t>
                              </w:r>
                            </w:p>
                          </w:tc>
                        </w:tr>
                      </w:tbl>
                      <w:p w:rsidR="00A96FED" w:rsidRDefault="00A96FED">
                        <w:r>
                          <w:t> </w:t>
                        </w:r>
                      </w:p>
                      <w:p w:rsidR="00A96FED" w:rsidRDefault="00A96FED">
                        <w:r>
                          <w:t> </w:t>
                        </w:r>
                      </w:p>
                      <w:p w:rsidR="00A96FED" w:rsidRDefault="00A96FED">
                        <w:r>
                          <w:t> </w:t>
                        </w:r>
                      </w:p>
                      <w:p w:rsidR="00A96FED" w:rsidRDefault="00A96FED">
                        <w:r>
                          <w:rPr>
                            <w:b/>
                            <w:bCs/>
                            <w:u w:val="single"/>
                          </w:rPr>
                          <w:t>6. Reform</w:t>
                        </w:r>
                      </w:p>
                      <w:p w:rsidR="00A96FED" w:rsidRDefault="00A96FED">
                        <w:r>
                          <w:t> </w:t>
                        </w:r>
                      </w:p>
                      <w:p w:rsidR="00A96FED" w:rsidRDefault="00A96FED">
                        <w:r>
                          <w:t xml:space="preserve">Palestinians were asked about what areas of reform are needed to advance Palestinian Society. </w:t>
                        </w:r>
                      </w:p>
                      <w:p w:rsidR="00A96FED" w:rsidRDefault="00A96FED">
                        <w:r>
                          <w:t> </w:t>
                        </w:r>
                      </w:p>
                      <w:p w:rsidR="00A96FED" w:rsidRDefault="00A96FED">
                        <w:r>
                          <w:t xml:space="preserve">* No surprise, getting rid of Occupation came as the most important step, as 96% feel that that is necessary. </w:t>
                        </w:r>
                      </w:p>
                      <w:p w:rsidR="00A96FED" w:rsidRDefault="00A96FED">
                        <w:r>
                          <w:t>* In combination with that, 94% feel that reforming PNA institutions is necessary.</w:t>
                        </w:r>
                      </w:p>
                      <w:p w:rsidR="00A96FED" w:rsidRDefault="00A96FED">
                        <w:r>
                          <w:t>* A majority of respondents (about 88%) also mention reforming local councils and NGOs as necessary.</w:t>
                        </w:r>
                      </w:p>
                      <w:p w:rsidR="00A96FED" w:rsidRDefault="00A96FED">
                        <w:r>
                          <w:t>* A large majority (83%) feels that reforming the work of political groups is necessary.</w:t>
                        </w:r>
                      </w:p>
                      <w:p w:rsidR="00A96FED" w:rsidRDefault="00A96FED">
                        <w:r>
                          <w:rPr>
                            <w:noProof/>
                          </w:rPr>
                          <w:lastRenderedPageBreak/>
                          <w:drawing>
                            <wp:inline distT="0" distB="0" distL="0" distR="0">
                              <wp:extent cx="6572250" cy="2419350"/>
                              <wp:effectExtent l="0" t="0" r="0" b="0"/>
                              <wp:docPr id="3" name="Picture 3" descr="http://home.birzeit.edu/cds/opinionpolls/poll11/analysis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ome.birzeit.edu/cds/opinionpolls/poll11/analysis_files/image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0" cy="2419350"/>
                                      </a:xfrm>
                                      <a:prstGeom prst="rect">
                                        <a:avLst/>
                                      </a:prstGeom>
                                      <a:noFill/>
                                      <a:ln>
                                        <a:noFill/>
                                      </a:ln>
                                    </pic:spPr>
                                  </pic:pic>
                                </a:graphicData>
                              </a:graphic>
                            </wp:inline>
                          </w:drawing>
                        </w:r>
                        <w:r>
                          <w:br w:type="textWrapping" w:clear="all"/>
                          <w:t>* Concern is also with international and donor institutions, as 83% feel that reforming the work of international donor institutions is necessary and 80% feel the same way about the work of UNRWA. In addition, 79% feel that the U.S.A. must reform its approach to the Palestinian issue for comprehensive reform to be feasible.</w:t>
                        </w:r>
                      </w:p>
                      <w:p w:rsidR="00A96FED" w:rsidRDefault="00A96FED">
                        <w:r>
                          <w:t> </w:t>
                        </w:r>
                      </w:p>
                      <w:p w:rsidR="00A96FED" w:rsidRDefault="00A96FED">
                        <w:r>
                          <w:rPr>
                            <w:b/>
                            <w:bCs/>
                            <w:u w:val="single"/>
                          </w:rPr>
                          <w:t>7. Political Affiliation</w:t>
                        </w:r>
                      </w:p>
                      <w:p w:rsidR="00A96FED" w:rsidRDefault="00A96FED">
                        <w:r>
                          <w:t> </w:t>
                        </w:r>
                      </w:p>
                      <w:p w:rsidR="00A96FED" w:rsidRDefault="00A96FED">
                        <w:r>
                          <w:br w:type="textWrapping" w:clear="all"/>
                          <w:t xml:space="preserve">The data confirm a trend witnessed in the last two years: religious groups are gaining support and nationalist and leftist groups are losing. And while the survey results show that Fateh is still the largest political group, the collective weight of Islamist groups (Hamas, Jihad, and other supporters) is larger.  The results also show that the educated (12 years of education or more) are more supportive of Fateh than the general public. </w:t>
                        </w:r>
                      </w:p>
                      <w:p w:rsidR="00A96FED" w:rsidRDefault="00A96FED">
                        <w:r>
                          <w:rPr>
                            <w:noProof/>
                          </w:rPr>
                          <w:drawing>
                            <wp:inline distT="0" distB="0" distL="0" distR="0">
                              <wp:extent cx="5476875" cy="3086100"/>
                              <wp:effectExtent l="0" t="0" r="9525" b="0"/>
                              <wp:docPr id="1" name="Picture 1" descr="http://home.birzeit.edu/cds/opinionpolls/poll11/analysis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ome.birzeit.edu/cds/opinionpolls/poll11/analysis_files/image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3086100"/>
                                      </a:xfrm>
                                      <a:prstGeom prst="rect">
                                        <a:avLst/>
                                      </a:prstGeom>
                                      <a:noFill/>
                                      <a:ln>
                                        <a:noFill/>
                                      </a:ln>
                                    </pic:spPr>
                                  </pic:pic>
                                </a:graphicData>
                              </a:graphic>
                            </wp:inline>
                          </w:drawing>
                        </w:r>
                        <w:r>
                          <w:t> </w:t>
                        </w:r>
                      </w:p>
                      <w:p w:rsidR="00A96FED" w:rsidRDefault="00A96FED">
                        <w:r>
                          <w:rPr>
                            <w:rFonts w:ascii="Arial" w:hAnsi="Arial" w:cs="Arial"/>
                          </w:rPr>
                          <w:lastRenderedPageBreak/>
                          <w:t> </w:t>
                        </w:r>
                      </w:p>
                      <w:p w:rsidR="00A96FED" w:rsidRDefault="00A96FED">
                        <w:r>
                          <w:rPr>
                            <w:rFonts w:ascii="Arial" w:hAnsi="Arial" w:cs="Arial"/>
                          </w:rPr>
                          <w:t> </w:t>
                        </w:r>
                      </w:p>
                      <w:p w:rsidR="00A96FED" w:rsidRDefault="00A96FED">
                        <w:r>
                          <w:rPr>
                            <w:rFonts w:ascii="Arial" w:hAnsi="Arial" w:cs="Arial"/>
                          </w:rPr>
                          <w:t> </w:t>
                        </w:r>
                      </w:p>
                      <w:p w:rsidR="00A96FED" w:rsidRDefault="00A96FED">
                        <w:r>
                          <w:rPr>
                            <w:rFonts w:ascii="Arial" w:hAnsi="Arial" w:cs="Arial"/>
                          </w:rPr>
                          <w:t> </w:t>
                        </w:r>
                      </w:p>
                    </w:tc>
                  </w:tr>
                  <w:tr w:rsidR="00A96FED" w:rsidTr="00A96FED">
                    <w:tc>
                      <w:tcPr>
                        <w:tcW w:w="0" w:type="auto"/>
                        <w:tcBorders>
                          <w:top w:val="nil"/>
                          <w:left w:val="nil"/>
                          <w:bottom w:val="nil"/>
                          <w:right w:val="nil"/>
                        </w:tcBorders>
                        <w:vAlign w:val="center"/>
                        <w:hideMark/>
                      </w:tcPr>
                      <w:p w:rsidR="00A96FED" w:rsidRDefault="00A96FED">
                        <w:pPr>
                          <w:pStyle w:val="NormalWeb"/>
                          <w:spacing w:before="0" w:beforeAutospacing="0" w:after="0" w:afterAutospacing="0"/>
                        </w:pPr>
                        <w:r>
                          <w:lastRenderedPageBreak/>
                          <w:t> </w:t>
                        </w:r>
                      </w:p>
                    </w:tc>
                  </w:tr>
                </w:tbl>
                <w:p w:rsidR="00A96FED" w:rsidRDefault="00A96FED"/>
              </w:tc>
            </w:tr>
            <w:tr w:rsidR="00A96FED">
              <w:tc>
                <w:tcPr>
                  <w:tcW w:w="12375" w:type="dxa"/>
                  <w:tcBorders>
                    <w:top w:val="nil"/>
                    <w:left w:val="nil"/>
                    <w:bottom w:val="nil"/>
                    <w:right w:val="nil"/>
                  </w:tcBorders>
                  <w:vAlign w:val="center"/>
                  <w:hideMark/>
                </w:tcPr>
                <w:p w:rsidR="00A96FED" w:rsidRDefault="00A96FED">
                  <w:pPr>
                    <w:pStyle w:val="NormalWeb"/>
                    <w:spacing w:before="0" w:beforeAutospacing="0" w:after="0" w:afterAutospacing="0"/>
                  </w:pPr>
                  <w:r>
                    <w:lastRenderedPageBreak/>
                    <w:t> </w:t>
                  </w:r>
                </w:p>
              </w:tc>
            </w:tr>
          </w:tbl>
          <w:p w:rsidR="00A96FED" w:rsidRDefault="00A96FED"/>
        </w:tc>
        <w:tc>
          <w:tcPr>
            <w:tcW w:w="315" w:type="dxa"/>
            <w:vAlign w:val="center"/>
            <w:hideMark/>
          </w:tcPr>
          <w:p w:rsidR="00A96FED" w:rsidRDefault="00A96FED">
            <w:pPr>
              <w:rPr>
                <w:sz w:val="24"/>
                <w:szCs w:val="24"/>
              </w:rPr>
            </w:pPr>
            <w:r>
              <w:lastRenderedPageBreak/>
              <w:t> </w:t>
            </w:r>
          </w:p>
        </w:tc>
      </w:tr>
      <w:tr w:rsidR="00A96FED" w:rsidTr="00A96FED">
        <w:trPr>
          <w:trHeight w:val="345"/>
          <w:tblCellSpacing w:w="0" w:type="dxa"/>
          <w:jc w:val="center"/>
        </w:trPr>
        <w:tc>
          <w:tcPr>
            <w:tcW w:w="300" w:type="dxa"/>
            <w:vAlign w:val="center"/>
            <w:hideMark/>
          </w:tcPr>
          <w:p w:rsidR="00A96FED" w:rsidRDefault="00A96FED">
            <w:r>
              <w:lastRenderedPageBreak/>
              <w:t> </w:t>
            </w:r>
          </w:p>
        </w:tc>
        <w:tc>
          <w:tcPr>
            <w:tcW w:w="1500" w:type="pct"/>
            <w:vAlign w:val="center"/>
            <w:hideMark/>
          </w:tcPr>
          <w:p w:rsidR="00A96FED" w:rsidRDefault="00A96FED">
            <w:r>
              <w:rPr>
                <w:rFonts w:ascii="Arial" w:hAnsi="Arial" w:cs="Arial"/>
              </w:rPr>
              <w:t>   </w:t>
            </w:r>
          </w:p>
        </w:tc>
        <w:tc>
          <w:tcPr>
            <w:tcW w:w="150" w:type="dxa"/>
            <w:vAlign w:val="center"/>
            <w:hideMark/>
          </w:tcPr>
          <w:p w:rsidR="00A96FED" w:rsidRDefault="00A96FED"/>
        </w:tc>
        <w:tc>
          <w:tcPr>
            <w:tcW w:w="0" w:type="auto"/>
            <w:vAlign w:val="center"/>
            <w:hideMark/>
          </w:tcPr>
          <w:p w:rsidR="00A96FED" w:rsidRDefault="00A96FED">
            <w:pPr>
              <w:rPr>
                <w:sz w:val="24"/>
                <w:szCs w:val="24"/>
              </w:rPr>
            </w:pPr>
            <w:r>
              <w:rPr>
                <w:rFonts w:ascii="Arial" w:hAnsi="Arial" w:cs="Arial"/>
              </w:rPr>
              <w:t>   </w:t>
            </w:r>
          </w:p>
        </w:tc>
        <w:tc>
          <w:tcPr>
            <w:tcW w:w="300" w:type="dxa"/>
            <w:vAlign w:val="center"/>
            <w:hideMark/>
          </w:tcPr>
          <w:p w:rsidR="00A96FED" w:rsidRDefault="00A96FED"/>
        </w:tc>
      </w:tr>
    </w:tbl>
    <w:p w:rsidR="00A96FED" w:rsidRDefault="00A96FED" w:rsidP="00A96FED">
      <w:pPr>
        <w:jc w:val="center"/>
        <w:rPr>
          <w:sz w:val="24"/>
          <w:szCs w:val="24"/>
        </w:rPr>
      </w:pPr>
      <w:r>
        <w:rPr>
          <w:rFonts w:ascii="Arial" w:hAnsi="Arial" w:cs="Arial"/>
        </w:rPr>
        <w:t>  </w:t>
      </w:r>
      <w:hyperlink r:id="rId17" w:anchor="top" w:history="1">
        <w:r>
          <w:rPr>
            <w:rStyle w:val="Hyperlink"/>
            <w:rFonts w:ascii="Arial" w:hAnsi="Arial" w:cs="Arial"/>
          </w:rPr>
          <w:t>Top of this page</w:t>
        </w:r>
      </w:hyperlink>
      <w:r>
        <w:rPr>
          <w:rFonts w:ascii="Arial" w:hAnsi="Arial" w:cs="Arial"/>
        </w:rPr>
        <w:t xml:space="preserve">    |    </w:t>
      </w:r>
      <w:hyperlink r:id="rId18" w:history="1">
        <w:r>
          <w:rPr>
            <w:rStyle w:val="Hyperlink"/>
            <w:rFonts w:ascii="Arial" w:hAnsi="Arial" w:cs="Arial"/>
          </w:rPr>
          <w:t>DSP Home</w:t>
        </w:r>
      </w:hyperlink>
      <w:r>
        <w:rPr>
          <w:rFonts w:ascii="Arial" w:hAnsi="Arial" w:cs="Arial"/>
        </w:rPr>
        <w:t xml:space="preserve">             </w:t>
      </w:r>
    </w:p>
    <w:p w:rsidR="000F5B3B" w:rsidRPr="00A96FED" w:rsidRDefault="000F5B3B" w:rsidP="00A96FED">
      <w:bookmarkStart w:id="3" w:name="_GoBack"/>
      <w:bookmarkEnd w:id="3"/>
    </w:p>
    <w:sectPr w:rsidR="000F5B3B" w:rsidRPr="00A9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061A5"/>
    <w:multiLevelType w:val="multilevel"/>
    <w:tmpl w:val="7CFE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C047E"/>
    <w:multiLevelType w:val="multilevel"/>
    <w:tmpl w:val="06A8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40"/>
  </w:num>
  <w:num w:numId="4">
    <w:abstractNumId w:val="30"/>
  </w:num>
  <w:num w:numId="5">
    <w:abstractNumId w:val="16"/>
  </w:num>
  <w:num w:numId="6">
    <w:abstractNumId w:val="6"/>
  </w:num>
  <w:num w:numId="7">
    <w:abstractNumId w:val="42"/>
  </w:num>
  <w:num w:numId="8">
    <w:abstractNumId w:val="34"/>
  </w:num>
  <w:num w:numId="9">
    <w:abstractNumId w:val="24"/>
  </w:num>
  <w:num w:numId="10">
    <w:abstractNumId w:val="28"/>
  </w:num>
  <w:num w:numId="11">
    <w:abstractNumId w:val="23"/>
  </w:num>
  <w:num w:numId="12">
    <w:abstractNumId w:val="11"/>
  </w:num>
  <w:num w:numId="13">
    <w:abstractNumId w:val="17"/>
  </w:num>
  <w:num w:numId="14">
    <w:abstractNumId w:val="7"/>
  </w:num>
  <w:num w:numId="15">
    <w:abstractNumId w:val="43"/>
  </w:num>
  <w:num w:numId="16">
    <w:abstractNumId w:val="4"/>
  </w:num>
  <w:num w:numId="17">
    <w:abstractNumId w:val="41"/>
  </w:num>
  <w:num w:numId="18">
    <w:abstractNumId w:val="5"/>
  </w:num>
  <w:num w:numId="19">
    <w:abstractNumId w:val="39"/>
  </w:num>
  <w:num w:numId="20">
    <w:abstractNumId w:val="33"/>
  </w:num>
  <w:num w:numId="21">
    <w:abstractNumId w:val="3"/>
  </w:num>
  <w:num w:numId="22">
    <w:abstractNumId w:val="38"/>
  </w:num>
  <w:num w:numId="23">
    <w:abstractNumId w:val="36"/>
  </w:num>
  <w:num w:numId="24">
    <w:abstractNumId w:val="20"/>
  </w:num>
  <w:num w:numId="25">
    <w:abstractNumId w:val="19"/>
  </w:num>
  <w:num w:numId="26">
    <w:abstractNumId w:val="14"/>
  </w:num>
  <w:num w:numId="27">
    <w:abstractNumId w:val="1"/>
  </w:num>
  <w:num w:numId="28">
    <w:abstractNumId w:val="0"/>
  </w:num>
  <w:num w:numId="29">
    <w:abstractNumId w:val="29"/>
  </w:num>
  <w:num w:numId="30">
    <w:abstractNumId w:val="9"/>
  </w:num>
  <w:num w:numId="31">
    <w:abstractNumId w:val="22"/>
  </w:num>
  <w:num w:numId="32">
    <w:abstractNumId w:val="44"/>
  </w:num>
  <w:num w:numId="33">
    <w:abstractNumId w:val="21"/>
  </w:num>
  <w:num w:numId="34">
    <w:abstractNumId w:val="25"/>
  </w:num>
  <w:num w:numId="35">
    <w:abstractNumId w:val="8"/>
  </w:num>
  <w:num w:numId="36">
    <w:abstractNumId w:val="31"/>
  </w:num>
  <w:num w:numId="37">
    <w:abstractNumId w:val="12"/>
  </w:num>
  <w:num w:numId="38">
    <w:abstractNumId w:val="32"/>
  </w:num>
  <w:num w:numId="39">
    <w:abstractNumId w:val="15"/>
  </w:num>
  <w:num w:numId="40">
    <w:abstractNumId w:val="13"/>
  </w:num>
  <w:num w:numId="41">
    <w:abstractNumId w:val="26"/>
  </w:num>
  <w:num w:numId="42">
    <w:abstractNumId w:val="2"/>
  </w:num>
  <w:num w:numId="43">
    <w:abstractNumId w:val="10"/>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96FED"/>
    <w:rsid w:val="00AA3F65"/>
    <w:rsid w:val="00AB17F2"/>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4936">
      <w:bodyDiv w:val="1"/>
      <w:marLeft w:val="0"/>
      <w:marRight w:val="0"/>
      <w:marTop w:val="0"/>
      <w:marBottom w:val="0"/>
      <w:divBdr>
        <w:top w:val="none" w:sz="0" w:space="0" w:color="auto"/>
        <w:left w:val="none" w:sz="0" w:space="0" w:color="auto"/>
        <w:bottom w:val="none" w:sz="0" w:space="0" w:color="auto"/>
        <w:right w:val="none" w:sz="0" w:space="0" w:color="auto"/>
      </w:divBdr>
      <w:divsChild>
        <w:div w:id="429200797">
          <w:marLeft w:val="0"/>
          <w:marRight w:val="0"/>
          <w:marTop w:val="0"/>
          <w:marBottom w:val="0"/>
          <w:divBdr>
            <w:top w:val="none" w:sz="0" w:space="0" w:color="auto"/>
            <w:left w:val="none" w:sz="0" w:space="0" w:color="auto"/>
            <w:bottom w:val="none" w:sz="0" w:space="0" w:color="auto"/>
            <w:right w:val="none" w:sz="0" w:space="0" w:color="auto"/>
          </w:divBdr>
        </w:div>
        <w:div w:id="1412508253">
          <w:marLeft w:val="0"/>
          <w:marRight w:val="0"/>
          <w:marTop w:val="0"/>
          <w:marBottom w:val="0"/>
          <w:divBdr>
            <w:top w:val="none" w:sz="0" w:space="0" w:color="auto"/>
            <w:left w:val="none" w:sz="0" w:space="0" w:color="auto"/>
            <w:bottom w:val="none" w:sz="0" w:space="0" w:color="auto"/>
            <w:right w:val="none" w:sz="0" w:space="0" w:color="auto"/>
          </w:divBdr>
          <w:divsChild>
            <w:div w:id="718476125">
              <w:marLeft w:val="0"/>
              <w:marRight w:val="0"/>
              <w:marTop w:val="0"/>
              <w:marBottom w:val="0"/>
              <w:divBdr>
                <w:top w:val="none" w:sz="0" w:space="0" w:color="auto"/>
                <w:left w:val="none" w:sz="0" w:space="0" w:color="auto"/>
                <w:bottom w:val="none" w:sz="0" w:space="0" w:color="auto"/>
                <w:right w:val="none" w:sz="0" w:space="0" w:color="auto"/>
              </w:divBdr>
              <w:divsChild>
                <w:div w:id="1095173417">
                  <w:marLeft w:val="0"/>
                  <w:marRight w:val="0"/>
                  <w:marTop w:val="0"/>
                  <w:marBottom w:val="0"/>
                  <w:divBdr>
                    <w:top w:val="none" w:sz="0" w:space="0" w:color="auto"/>
                    <w:left w:val="none" w:sz="0" w:space="0" w:color="auto"/>
                    <w:bottom w:val="none" w:sz="0" w:space="0" w:color="auto"/>
                    <w:right w:val="none" w:sz="0" w:space="0" w:color="auto"/>
                  </w:divBdr>
                </w:div>
                <w:div w:id="2938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9372">
          <w:marLeft w:val="0"/>
          <w:marRight w:val="0"/>
          <w:marTop w:val="0"/>
          <w:marBottom w:val="0"/>
          <w:divBdr>
            <w:top w:val="none" w:sz="0" w:space="0" w:color="auto"/>
            <w:left w:val="none" w:sz="0" w:space="0" w:color="auto"/>
            <w:bottom w:val="none" w:sz="0" w:space="0" w:color="auto"/>
            <w:right w:val="none" w:sz="0" w:space="0" w:color="auto"/>
          </w:divBdr>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poll_11/OpinionPollNo11.PDF" TargetMode="External"/><Relationship Id="rId13" Type="http://schemas.openxmlformats.org/officeDocument/2006/relationships/image" Target="media/image4.gif"/><Relationship Id="rId18"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11/tables.html" TargetMode="External"/><Relationship Id="rId12" Type="http://schemas.openxmlformats.org/officeDocument/2006/relationships/image" Target="media/image3.gif"/><Relationship Id="rId17" Type="http://schemas.openxmlformats.org/officeDocument/2006/relationships/hyperlink" Target="http://home.birzeit.edu/cds/opinionpolls/poll11/analysis.html"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birzeit.edu/cds/opinionpolls/poll11/analysis.html" TargetMode="External"/><Relationship Id="rId11" Type="http://schemas.openxmlformats.org/officeDocument/2006/relationships/image" Target="media/image2.gif"/><Relationship Id="rId5" Type="http://schemas.openxmlformats.org/officeDocument/2006/relationships/hyperlink" Target="http://home.birzeit.edu/dsp/opinionpolls/" TargetMode="Externa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birzeit.edu/dsp/arabic/opinionpolls/poll11/analysis.html"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2019-03-05T13:20:00Z</dcterms:modified>
</cp:coreProperties>
</file>