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34" w:rsidRDefault="00BC0534" w:rsidP="00BC0534">
      <w:pPr>
        <w:jc w:val="center"/>
      </w:pPr>
      <w:bookmarkStart w:id="0" w:name="top"/>
      <w:bookmarkEnd w:id="0"/>
      <w:r>
        <w:rPr>
          <w:rFonts w:ascii="Arial" w:hAnsi="Arial" w:cs="Arial"/>
          <w:noProof/>
        </w:rPr>
        <mc:AlternateContent>
          <mc:Choice Requires="wps">
            <w:drawing>
              <wp:inline distT="0" distB="0" distL="0" distR="0">
                <wp:extent cx="304800" cy="304800"/>
                <wp:effectExtent l="0" t="0" r="0" b="0"/>
                <wp:docPr id="8" name="Rectangle 8"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49889" id="Rectangle 8"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V6mga2QIAAPIFAAAOAAAAAAAAAAAAAAAAAC4CAABkcnMvZTJv&#10;RG9jLnhtbFBLAQItABQABgAIAAAAIQBMoOks2AAAAAMBAAAPAAAAAAAAAAAAAAAAADMFAABkcnMv&#10;ZG93bnJldi54bWxQSwUGAAAAAAQABADzAAAAOA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37"/>
        <w:gridCol w:w="2867"/>
        <w:gridCol w:w="1911"/>
        <w:gridCol w:w="4508"/>
        <w:gridCol w:w="37"/>
      </w:tblGrid>
      <w:tr w:rsidR="00BC0534" w:rsidTr="00BC0534">
        <w:trPr>
          <w:trHeight w:val="345"/>
          <w:tblCellSpacing w:w="0" w:type="dxa"/>
          <w:jc w:val="center"/>
        </w:trPr>
        <w:tc>
          <w:tcPr>
            <w:tcW w:w="300" w:type="dxa"/>
            <w:vAlign w:val="center"/>
            <w:hideMark/>
          </w:tcPr>
          <w:p w:rsidR="00BC0534" w:rsidRDefault="00BC0534">
            <w:r>
              <w:t> </w:t>
            </w:r>
          </w:p>
        </w:tc>
        <w:tc>
          <w:tcPr>
            <w:tcW w:w="1500" w:type="pct"/>
            <w:vAlign w:val="center"/>
            <w:hideMark/>
          </w:tcPr>
          <w:p w:rsidR="00BC0534" w:rsidRDefault="00BC0534">
            <w:r>
              <w:rPr>
                <w:rFonts w:ascii="Arial" w:hAnsi="Arial" w:cs="Arial"/>
              </w:rPr>
              <w:t>   </w:t>
            </w:r>
          </w:p>
        </w:tc>
        <w:tc>
          <w:tcPr>
            <w:tcW w:w="150" w:type="dxa"/>
            <w:vAlign w:val="center"/>
            <w:hideMark/>
          </w:tcPr>
          <w:p w:rsidR="00BC0534" w:rsidRDefault="00BC0534"/>
        </w:tc>
        <w:tc>
          <w:tcPr>
            <w:tcW w:w="0" w:type="auto"/>
            <w:vAlign w:val="center"/>
            <w:hideMark/>
          </w:tcPr>
          <w:p w:rsidR="00BC0534" w:rsidRDefault="00BC0534">
            <w:pPr>
              <w:rPr>
                <w:sz w:val="24"/>
                <w:szCs w:val="24"/>
              </w:rPr>
            </w:pPr>
            <w:r>
              <w:rPr>
                <w:rFonts w:ascii="Arial" w:hAnsi="Arial" w:cs="Arial"/>
              </w:rPr>
              <w:t>   </w:t>
            </w:r>
          </w:p>
        </w:tc>
        <w:tc>
          <w:tcPr>
            <w:tcW w:w="300" w:type="dxa"/>
            <w:vAlign w:val="center"/>
            <w:hideMark/>
          </w:tcPr>
          <w:p w:rsidR="00BC0534" w:rsidRDefault="00BC0534"/>
        </w:tc>
      </w:tr>
      <w:tr w:rsidR="00BC0534" w:rsidTr="00BC0534">
        <w:trPr>
          <w:tblCellSpacing w:w="0" w:type="dxa"/>
          <w:jc w:val="center"/>
        </w:trPr>
        <w:tc>
          <w:tcPr>
            <w:tcW w:w="300" w:type="dxa"/>
            <w:vAlign w:val="center"/>
            <w:hideMark/>
          </w:tcPr>
          <w:p w:rsidR="00BC0534" w:rsidRDefault="00BC0534">
            <w:pPr>
              <w:rPr>
                <w:sz w:val="24"/>
                <w:szCs w:val="24"/>
              </w:rPr>
            </w:pPr>
            <w:r>
              <w:t> </w:t>
            </w:r>
          </w:p>
        </w:tc>
        <w:tc>
          <w:tcPr>
            <w:tcW w:w="0" w:type="auto"/>
            <w:gridSpan w:val="3"/>
            <w:hideMark/>
          </w:tcPr>
          <w:p w:rsidR="00BC0534" w:rsidRDefault="00BC0534" w:rsidP="00BC0534">
            <w:hyperlink r:id="rId5" w:history="1">
              <w:r>
                <w:rPr>
                  <w:rStyle w:val="Hyperlink"/>
                  <w:rFonts w:ascii="Arial" w:hAnsi="Arial" w:cs="Arial"/>
                </w:rPr>
                <w:t>Opinion Polls</w:t>
              </w:r>
            </w:hyperlink>
          </w:p>
          <w:p w:rsidR="00BC0534" w:rsidRDefault="00BC0534" w:rsidP="00BC0534">
            <w:r>
              <w:t> </w:t>
            </w:r>
          </w:p>
          <w:p w:rsidR="00BC0534" w:rsidRDefault="00BC0534" w:rsidP="00BC0534">
            <w:pPr>
              <w:pStyle w:val="Heading1"/>
              <w:spacing w:before="0" w:beforeAutospacing="0" w:after="0" w:afterAutospacing="0"/>
              <w:jc w:val="center"/>
            </w:pPr>
            <w:r>
              <w:rPr>
                <w:color w:val="006666"/>
                <w:sz w:val="27"/>
                <w:szCs w:val="27"/>
              </w:rPr>
              <w:t>Poll No. 10</w:t>
            </w:r>
          </w:p>
          <w:p w:rsidR="00BC0534" w:rsidRDefault="00BC0534" w:rsidP="00BC0534">
            <w:pPr>
              <w:pStyle w:val="Heading1"/>
              <w:spacing w:before="0" w:beforeAutospacing="0" w:after="0" w:afterAutospacing="0"/>
              <w:jc w:val="center"/>
            </w:pPr>
            <w:r>
              <w:rPr>
                <w:b w:val="0"/>
                <w:bCs w:val="0"/>
                <w:color w:val="111111"/>
                <w:sz w:val="27"/>
                <w:szCs w:val="27"/>
              </w:rPr>
              <w:t>Analysis of Results</w:t>
            </w:r>
          </w:p>
          <w:p w:rsidR="00BC0534" w:rsidRDefault="00BC0534">
            <w:pPr>
              <w:jc w:val="center"/>
            </w:pPr>
            <w:r>
              <w:t> </w:t>
            </w:r>
          </w:p>
          <w:p w:rsidR="00BC0534" w:rsidRDefault="00BC0534">
            <w:pPr>
              <w:jc w:val="center"/>
            </w:pPr>
            <w:r>
              <w:rPr>
                <w:b/>
                <w:bCs/>
              </w:rPr>
              <w:t>[</w:t>
            </w:r>
            <w:hyperlink r:id="rId6" w:history="1">
              <w:r>
                <w:rPr>
                  <w:rStyle w:val="Hyperlink"/>
                  <w:b/>
                  <w:bCs/>
                </w:rPr>
                <w:t>Analysis of Results</w:t>
              </w:r>
            </w:hyperlink>
            <w:r>
              <w:rPr>
                <w:b/>
                <w:bCs/>
              </w:rPr>
              <w:t>] | [</w:t>
            </w:r>
            <w:hyperlink r:id="rId7" w:history="1">
              <w:r>
                <w:rPr>
                  <w:rStyle w:val="Hyperlink"/>
                  <w:b/>
                  <w:bCs/>
                </w:rPr>
                <w:t>Detailed Results</w:t>
              </w:r>
            </w:hyperlink>
            <w:r>
              <w:rPr>
                <w:b/>
                <w:bCs/>
              </w:rPr>
              <w:t>] | [</w:t>
            </w:r>
            <w:hyperlink r:id="rId8" w:history="1">
              <w:r>
                <w:rPr>
                  <w:rStyle w:val="Hyperlink"/>
                  <w:b/>
                  <w:bCs/>
                </w:rPr>
                <w:t>PDF Format</w:t>
              </w:r>
            </w:hyperlink>
            <w:r>
              <w:rPr>
                <w:b/>
                <w:bCs/>
              </w:rPr>
              <w:t>] | [</w:t>
            </w:r>
            <w:hyperlink r:id="rId9" w:history="1">
              <w:r>
                <w:rPr>
                  <w:rStyle w:val="Hyperlink"/>
                  <w:rFonts w:hint="cs"/>
                  <w:rtl/>
                </w:rPr>
                <w:t>باللغة العربية</w:t>
              </w:r>
            </w:hyperlink>
            <w:r>
              <w:rPr>
                <w:b/>
                <w:bCs/>
              </w:rPr>
              <w:t>]</w:t>
            </w:r>
          </w:p>
          <w:p w:rsidR="00BC0534" w:rsidRDefault="00BC0534">
            <w:r>
              <w:pict>
                <v:rect id="_x0000_i1030" style="width:.05pt;height:1.5pt" o:hrpct="750" o:hralign="center" o:hrstd="t" o:hr="t" fillcolor="#a0a0a0" stroked="f"/>
              </w:pict>
            </w:r>
          </w:p>
          <w:p w:rsidR="00BC0534" w:rsidRDefault="00BC0534">
            <w:pPr>
              <w:bidi/>
              <w:jc w:val="right"/>
            </w:pPr>
            <w:r>
              <w:rPr>
                <w:rtl/>
              </w:rPr>
              <w:t> </w:t>
            </w:r>
          </w:p>
          <w:tbl>
            <w:tblPr>
              <w:tblW w:w="12375" w:type="dxa"/>
              <w:tblCellMar>
                <w:left w:w="0" w:type="dxa"/>
                <w:right w:w="0" w:type="dxa"/>
              </w:tblCellMar>
              <w:tblLook w:val="04A0" w:firstRow="1" w:lastRow="0" w:firstColumn="1" w:lastColumn="0" w:noHBand="0" w:noVBand="1"/>
            </w:tblPr>
            <w:tblGrid>
              <w:gridCol w:w="12375"/>
            </w:tblGrid>
            <w:tr w:rsidR="00BC0534">
              <w:tc>
                <w:tcPr>
                  <w:tcW w:w="12375" w:type="dxa"/>
                  <w:tcBorders>
                    <w:top w:val="nil"/>
                    <w:left w:val="nil"/>
                    <w:bottom w:val="nil"/>
                    <w:right w:val="nil"/>
                  </w:tcBorders>
                  <w:vAlign w:val="center"/>
                  <w:hideMark/>
                </w:tcPr>
                <w:p w:rsidR="00BC0534" w:rsidRDefault="00BC0534" w:rsidP="00BC0534">
                  <w:pPr>
                    <w:spacing w:before="100" w:beforeAutospacing="1" w:after="100" w:afterAutospacing="1"/>
                    <w:ind w:right="27"/>
                    <w:jc w:val="center"/>
                    <w:rPr>
                      <w:rtl/>
                    </w:rPr>
                  </w:pPr>
                  <w:r>
                    <w:rPr>
                      <w:b/>
                      <w:bCs/>
                      <w:u w:val="single"/>
                    </w:rPr>
                    <w:t>The Peace process</w:t>
                  </w:r>
                </w:p>
                <w:p w:rsidR="00BC0534" w:rsidRDefault="00BC0534" w:rsidP="00BC0534">
                  <w:pPr>
                    <w:numPr>
                      <w:ilvl w:val="0"/>
                      <w:numId w:val="44"/>
                    </w:numPr>
                    <w:spacing w:before="100" w:beforeAutospacing="1" w:after="100" w:afterAutospacing="1" w:line="240" w:lineRule="auto"/>
                    <w:ind w:right="27"/>
                    <w:jc w:val="lowKashida"/>
                  </w:pPr>
                  <w:r>
                    <w:t> A majority of the respondents (52%) supports the resumption of peace negotiations with Israel. Support is equally distributed between Gaza and the West Bank. In contrast, 46% oppose such negotiations at the present time.</w:t>
                  </w:r>
                </w:p>
                <w:p w:rsidR="00BC0534" w:rsidRDefault="00BC0534" w:rsidP="00BC0534">
                  <w:pPr>
                    <w:spacing w:before="100" w:beforeAutospacing="1" w:after="100" w:afterAutospacing="1"/>
                    <w:ind w:right="27"/>
                  </w:pPr>
                  <w:r>
                    <w:rPr>
                      <w:noProof/>
                    </w:rPr>
                    <w:drawing>
                      <wp:inline distT="0" distB="0" distL="0" distR="0">
                        <wp:extent cx="5600700" cy="2324100"/>
                        <wp:effectExtent l="0" t="0" r="0" b="0"/>
                        <wp:docPr id="7" name="Picture 7" descr="http://home.birzeit.edu/cds/opinionpolls/poll10/analysi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me.birzeit.edu/cds/opinionpolls/poll10/analysis_files/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2324100"/>
                                </a:xfrm>
                                <a:prstGeom prst="rect">
                                  <a:avLst/>
                                </a:prstGeom>
                                <a:noFill/>
                                <a:ln>
                                  <a:noFill/>
                                </a:ln>
                              </pic:spPr>
                            </pic:pic>
                          </a:graphicData>
                        </a:graphic>
                      </wp:inline>
                    </w:drawing>
                  </w:r>
                </w:p>
                <w:p w:rsidR="00BC0534" w:rsidRDefault="00BC0534" w:rsidP="00BC0534">
                  <w:pPr>
                    <w:pStyle w:val="NormalWeb"/>
                    <w:bidi/>
                  </w:pPr>
                  <w:r>
                    <w:rPr>
                      <w:rtl/>
                    </w:rPr>
                    <w:br w:type="textWrapping" w:clear="all"/>
                    <w:t> </w:t>
                  </w:r>
                </w:p>
                <w:p w:rsidR="00BC0534" w:rsidRDefault="00BC0534" w:rsidP="00BC0534">
                  <w:pPr>
                    <w:pStyle w:val="NormalWeb"/>
                    <w:bidi/>
                    <w:rPr>
                      <w:rtl/>
                    </w:rPr>
                  </w:pPr>
                  <w:r>
                    <w:rPr>
                      <w:rtl/>
                    </w:rPr>
                    <w:t> </w:t>
                  </w:r>
                </w:p>
                <w:p w:rsidR="00BC0534" w:rsidRDefault="00BC0534" w:rsidP="00BC0534">
                  <w:pPr>
                    <w:spacing w:before="100" w:beforeAutospacing="1" w:after="100" w:afterAutospacing="1"/>
                    <w:ind w:right="27"/>
                    <w:jc w:val="center"/>
                    <w:rPr>
                      <w:rtl/>
                    </w:rPr>
                  </w:pPr>
                  <w:r>
                    <w:rPr>
                      <w:b/>
                      <w:bCs/>
                    </w:rPr>
                    <w:t> </w:t>
                  </w:r>
                </w:p>
                <w:p w:rsidR="00BC0534" w:rsidRDefault="00BC0534" w:rsidP="00BC0534">
                  <w:pPr>
                    <w:spacing w:before="100" w:beforeAutospacing="1" w:after="100" w:afterAutospacing="1"/>
                    <w:ind w:right="27"/>
                    <w:jc w:val="center"/>
                  </w:pPr>
                  <w:r>
                    <w:rPr>
                      <w:b/>
                      <w:bCs/>
                      <w:u w:val="single"/>
                    </w:rPr>
                    <w:t>Armed attacks against Israelis</w:t>
                  </w:r>
                </w:p>
                <w:p w:rsidR="00BC0534" w:rsidRDefault="00BC0534" w:rsidP="00BC0534">
                  <w:pPr>
                    <w:numPr>
                      <w:ilvl w:val="0"/>
                      <w:numId w:val="45"/>
                    </w:numPr>
                    <w:spacing w:before="100" w:beforeAutospacing="1" w:after="100" w:afterAutospacing="1" w:line="240" w:lineRule="auto"/>
                    <w:ind w:right="27"/>
                  </w:pPr>
                  <w:r>
                    <w:lastRenderedPageBreak/>
                    <w:t xml:space="preserve"> A majority of Palestinians (69%) approves of a halt on armed attacks against Israelis residing in Israel. This is, however, conditional upon the ability of Palestinian political groups to reach an agreement amongst </w:t>
                  </w:r>
                  <w:r>
                    <w:rPr>
                      <w:rStyle w:val="grame"/>
                    </w:rPr>
                    <w:t>themselves</w:t>
                  </w:r>
                  <w:r>
                    <w:t xml:space="preserve"> on this issue. In addition, for 55%, it is conditional upon an Israeli halt on attacks against Palestinian civilians.</w:t>
                  </w:r>
                </w:p>
                <w:p w:rsidR="00BC0534" w:rsidRDefault="00BC0534" w:rsidP="00BC0534">
                  <w:pPr>
                    <w:spacing w:before="100" w:beforeAutospacing="1" w:after="100" w:afterAutospacing="1"/>
                    <w:ind w:right="27"/>
                  </w:pPr>
                  <w:r>
                    <w:t> </w:t>
                  </w:r>
                </w:p>
                <w:p w:rsidR="00BC0534" w:rsidRDefault="00BC0534" w:rsidP="00BC0534">
                  <w:pPr>
                    <w:spacing w:before="100" w:beforeAutospacing="1" w:after="100" w:afterAutospacing="1"/>
                    <w:ind w:right="27"/>
                    <w:jc w:val="center"/>
                  </w:pPr>
                  <w:r>
                    <w:rPr>
                      <w:noProof/>
                    </w:rPr>
                    <w:drawing>
                      <wp:inline distT="0" distB="0" distL="0" distR="0">
                        <wp:extent cx="5229225" cy="3076575"/>
                        <wp:effectExtent l="0" t="0" r="9525" b="0"/>
                        <wp:docPr id="6" name="Picture 6" descr="http://home.birzeit.edu/cds/opinionpolls/poll10/analysis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me.birzeit.edu/cds/opinionpolls/poll10/analysis_files/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3076575"/>
                                </a:xfrm>
                                <a:prstGeom prst="rect">
                                  <a:avLst/>
                                </a:prstGeom>
                                <a:noFill/>
                                <a:ln>
                                  <a:noFill/>
                                </a:ln>
                              </pic:spPr>
                            </pic:pic>
                          </a:graphicData>
                        </a:graphic>
                      </wp:inline>
                    </w:drawing>
                  </w:r>
                </w:p>
                <w:p w:rsidR="00BC0534" w:rsidRDefault="00BC0534" w:rsidP="00BC0534">
                  <w:pPr>
                    <w:pStyle w:val="NormalWeb"/>
                    <w:jc w:val="center"/>
                  </w:pPr>
                  <w:r>
                    <w:br w:type="textWrapping" w:clear="all"/>
                  </w:r>
                  <w:r>
                    <w:rPr>
                      <w:b/>
                      <w:bCs/>
                      <w:u w:val="single"/>
                    </w:rPr>
                    <w:br w:type="page"/>
                    <w:t>The Proposed Palestinian Constitution</w:t>
                  </w:r>
                </w:p>
                <w:p w:rsidR="00BC0534" w:rsidRDefault="00BC0534" w:rsidP="00BC0534">
                  <w:pPr>
                    <w:pStyle w:val="NormalWeb"/>
                    <w:bidi/>
                  </w:pPr>
                  <w:r>
                    <w:rPr>
                      <w:rtl/>
                    </w:rPr>
                    <w:t> </w:t>
                  </w:r>
                </w:p>
                <w:p w:rsidR="00BC0534" w:rsidRDefault="00BC0534" w:rsidP="00BC0534">
                  <w:pPr>
                    <w:spacing w:before="100" w:beforeAutospacing="1" w:after="100" w:afterAutospacing="1"/>
                    <w:ind w:right="27"/>
                    <w:rPr>
                      <w:rtl/>
                    </w:rPr>
                  </w:pPr>
                  <w:r>
                    <w:t> </w:t>
                  </w:r>
                  <w:r>
                    <w:rPr>
                      <w:b/>
                      <w:bCs/>
                      <w:i/>
                      <w:iCs/>
                      <w:u w:val="single"/>
                    </w:rPr>
                    <w:t xml:space="preserve">1. Division over use of Islamic </w:t>
                  </w:r>
                  <w:r>
                    <w:rPr>
                      <w:rStyle w:val="spelle"/>
                      <w:b/>
                      <w:bCs/>
                      <w:i/>
                      <w:iCs/>
                      <w:u w:val="single"/>
                    </w:rPr>
                    <w:t>Sharia</w:t>
                  </w:r>
                  <w:r>
                    <w:rPr>
                      <w:b/>
                      <w:bCs/>
                      <w:i/>
                      <w:iCs/>
                      <w:u w:val="single"/>
                    </w:rPr>
                    <w:t xml:space="preserve"> (Law): </w:t>
                  </w:r>
                </w:p>
                <w:p w:rsidR="00BC0534" w:rsidRDefault="00BC0534" w:rsidP="00BC0534">
                  <w:pPr>
                    <w:ind w:left="284" w:right="27" w:hanging="284"/>
                    <w:jc w:val="lowKashida"/>
                  </w:pPr>
                  <w:r>
                    <w:t xml:space="preserve">     Palestinians are divided on the use of </w:t>
                  </w:r>
                  <w:r>
                    <w:rPr>
                      <w:rStyle w:val="spelle"/>
                    </w:rPr>
                    <w:t>Sharia</w:t>
                  </w:r>
                  <w:r>
                    <w:t xml:space="preserve"> as the "basis for legislation" in the proposed Palestinian Constitution; 38% see that Islamic </w:t>
                  </w:r>
                  <w:r>
                    <w:rPr>
                      <w:rStyle w:val="spelle"/>
                    </w:rPr>
                    <w:t>Sharia</w:t>
                  </w:r>
                  <w:r>
                    <w:t xml:space="preserve">' is the sole source of legislation. In contrast, 33% believe that human and civic rights must be the source of legislation. Another 29% see Islamic </w:t>
                  </w:r>
                  <w:r>
                    <w:rPr>
                      <w:rStyle w:val="spelle"/>
                    </w:rPr>
                    <w:t>Sharia</w:t>
                  </w:r>
                  <w:r>
                    <w:t xml:space="preserve">' as a primary source, but combined with human rights and international conventions. For 8% (out of this 29%) </w:t>
                  </w:r>
                  <w:r>
                    <w:rPr>
                      <w:rStyle w:val="spelle"/>
                    </w:rPr>
                    <w:t>Sharia</w:t>
                  </w:r>
                  <w:r>
                    <w:t xml:space="preserve"> is acceptable as a primary source, but conditional upon the approval of an elected body. </w:t>
                  </w:r>
                </w:p>
                <w:p w:rsidR="00BC0534" w:rsidRDefault="00BC0534" w:rsidP="00BC0534">
                  <w:pPr>
                    <w:spacing w:before="100" w:beforeAutospacing="1" w:after="100" w:afterAutospacing="1"/>
                    <w:ind w:right="27"/>
                  </w:pPr>
                  <w:r>
                    <w:t> </w:t>
                  </w:r>
                </w:p>
                <w:p w:rsidR="00BC0534" w:rsidRDefault="00BC0534" w:rsidP="00BC0534">
                  <w:pPr>
                    <w:spacing w:before="100" w:beforeAutospacing="1" w:after="100" w:afterAutospacing="1"/>
                    <w:ind w:right="27"/>
                  </w:pPr>
                  <w:r>
                    <w:rPr>
                      <w:noProof/>
                    </w:rPr>
                    <w:lastRenderedPageBreak/>
                    <w:drawing>
                      <wp:inline distT="0" distB="0" distL="0" distR="0">
                        <wp:extent cx="5010150" cy="2105025"/>
                        <wp:effectExtent l="0" t="0" r="0" b="0"/>
                        <wp:docPr id="5" name="Picture 5" descr="http://home.birzeit.edu/cds/opinionpolls/poll10/analysis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ome.birzeit.edu/cds/opinionpolls/poll10/analysis_files/image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2105025"/>
                                </a:xfrm>
                                <a:prstGeom prst="rect">
                                  <a:avLst/>
                                </a:prstGeom>
                                <a:noFill/>
                                <a:ln>
                                  <a:noFill/>
                                </a:ln>
                              </pic:spPr>
                            </pic:pic>
                          </a:graphicData>
                        </a:graphic>
                      </wp:inline>
                    </w:drawing>
                  </w:r>
                </w:p>
                <w:p w:rsidR="00BC0534" w:rsidRDefault="00BC0534" w:rsidP="00BC0534">
                  <w:pPr>
                    <w:ind w:left="284" w:right="27" w:hanging="284"/>
                    <w:jc w:val="lowKashida"/>
                  </w:pPr>
                  <w:r>
                    <w:rPr>
                      <w:b/>
                      <w:bCs/>
                      <w:i/>
                      <w:iCs/>
                      <w:u w:val="single"/>
                    </w:rPr>
                    <w:t xml:space="preserve">2. </w:t>
                  </w:r>
                  <w:r>
                    <w:rPr>
                      <w:rStyle w:val="spelle"/>
                      <w:b/>
                      <w:bCs/>
                      <w:i/>
                      <w:iCs/>
                      <w:u w:val="single"/>
                    </w:rPr>
                    <w:t>Sharia</w:t>
                  </w:r>
                  <w:r>
                    <w:rPr>
                      <w:b/>
                      <w:bCs/>
                      <w:i/>
                      <w:iCs/>
                      <w:u w:val="single"/>
                    </w:rPr>
                    <w:t xml:space="preserve"> in governance might lead to abuse of power: </w:t>
                  </w:r>
                </w:p>
                <w:p w:rsidR="00BC0534" w:rsidRDefault="00BC0534" w:rsidP="00BC0534">
                  <w:pPr>
                    <w:ind w:left="284" w:right="27" w:hanging="284"/>
                    <w:jc w:val="lowKashida"/>
                  </w:pPr>
                  <w:r>
                    <w:t xml:space="preserve">     While many Palestinians feel that </w:t>
                  </w:r>
                  <w:r>
                    <w:rPr>
                      <w:rStyle w:val="spelle"/>
                    </w:rPr>
                    <w:t>Sharia</w:t>
                  </w:r>
                  <w:r>
                    <w:t xml:space="preserve"> is an important element in their lives, many feel that the implementation of </w:t>
                  </w:r>
                  <w:r>
                    <w:rPr>
                      <w:rStyle w:val="spelle"/>
                    </w:rPr>
                    <w:t>Sharia</w:t>
                  </w:r>
                  <w:r>
                    <w:t xml:space="preserve"> might not be "practical". About 54% feel that the use of </w:t>
                  </w:r>
                  <w:r>
                    <w:rPr>
                      <w:rStyle w:val="spelle"/>
                    </w:rPr>
                    <w:t>Sharia</w:t>
                  </w:r>
                  <w:r>
                    <w:t xml:space="preserve"> in governance will lead to abuse of religion by the government only to reinforce its own power. Furthermore, the majority of respondents (76%) do not perceive the establishment of an Islamic state to be a realistic option.  </w:t>
                  </w:r>
                </w:p>
                <w:p w:rsidR="00BC0534" w:rsidRDefault="00BC0534" w:rsidP="00BC0534">
                  <w:pPr>
                    <w:ind w:left="284" w:right="27" w:hanging="284"/>
                    <w:jc w:val="lowKashida"/>
                  </w:pPr>
                  <w:r>
                    <w:rPr>
                      <w:b/>
                      <w:bCs/>
                      <w:i/>
                      <w:iCs/>
                      <w:u w:val="single"/>
                    </w:rPr>
                    <w:t xml:space="preserve">3. Support for democracy: </w:t>
                  </w:r>
                </w:p>
                <w:p w:rsidR="00BC0534" w:rsidRDefault="00BC0534" w:rsidP="00BC0534">
                  <w:pPr>
                    <w:ind w:left="284" w:right="27" w:hanging="284"/>
                    <w:jc w:val="lowKashida"/>
                  </w:pPr>
                  <w:r>
                    <w:t>     It is also interesting to note that that over 66% of the respondents approve of an article stating that (the Palestinian political system is democratic, parliamentary, and based on political pluralism).</w:t>
                  </w:r>
                </w:p>
                <w:p w:rsidR="00BC0534" w:rsidRDefault="00BC0534" w:rsidP="00BC0534">
                  <w:pPr>
                    <w:spacing w:before="100" w:beforeAutospacing="1" w:after="100" w:afterAutospacing="1"/>
                    <w:ind w:right="27"/>
                    <w:jc w:val="lowKashida"/>
                  </w:pPr>
                  <w:r>
                    <w:t> </w:t>
                  </w:r>
                  <w:r>
                    <w:rPr>
                      <w:b/>
                      <w:bCs/>
                      <w:i/>
                      <w:iCs/>
                      <w:u w:val="single"/>
                    </w:rPr>
                    <w:t>4. All Palestinians are born equal:</w:t>
                  </w:r>
                </w:p>
                <w:p w:rsidR="00BC0534" w:rsidRDefault="00BC0534" w:rsidP="00BC0534">
                  <w:pPr>
                    <w:ind w:left="284" w:right="27" w:hanging="284"/>
                    <w:jc w:val="lowKashida"/>
                  </w:pPr>
                  <w:r>
                    <w:t>     In addition, 92% approve on an article stating that (all Palestinians are equal before the law with equal rights and duties, and no discrimination will exit based on race, sex, color, religion, political opinion, or disability).</w:t>
                  </w:r>
                </w:p>
                <w:p w:rsidR="00BC0534" w:rsidRDefault="00BC0534" w:rsidP="00BC0534">
                  <w:pPr>
                    <w:spacing w:before="100" w:beforeAutospacing="1" w:after="100" w:afterAutospacing="1"/>
                    <w:ind w:right="27"/>
                    <w:jc w:val="lowKashida"/>
                  </w:pPr>
                  <w:r>
                    <w:t> </w:t>
                  </w:r>
                  <w:r>
                    <w:rPr>
                      <w:b/>
                      <w:bCs/>
                      <w:i/>
                      <w:iCs/>
                      <w:u w:val="single"/>
                    </w:rPr>
                    <w:t xml:space="preserve">5. State must promote the status of women: </w:t>
                  </w:r>
                </w:p>
                <w:p w:rsidR="00BC0534" w:rsidRDefault="00BC0534" w:rsidP="00BC0534">
                  <w:pPr>
                    <w:ind w:left="284" w:right="27" w:hanging="284"/>
                    <w:jc w:val="lowKashida"/>
                  </w:pPr>
                  <w:r>
                    <w:t>     With regards to women's rights, a majority (82%) feels that the state must have an active role in eradicating obstacles that stand in the face of women's contribution to family and society in all fields.</w:t>
                  </w:r>
                </w:p>
                <w:p w:rsidR="00BC0534" w:rsidRDefault="00BC0534" w:rsidP="00BC0534">
                  <w:pPr>
                    <w:spacing w:before="100" w:beforeAutospacing="1" w:after="100" w:afterAutospacing="1"/>
                    <w:ind w:right="27"/>
                    <w:jc w:val="lowKashida"/>
                  </w:pPr>
                  <w:r>
                    <w:t> </w:t>
                  </w:r>
                  <w:r>
                    <w:rPr>
                      <w:b/>
                      <w:bCs/>
                      <w:i/>
                      <w:iCs/>
                      <w:u w:val="single"/>
                    </w:rPr>
                    <w:t>6. Prime minister must be elected by parliament:</w:t>
                  </w:r>
                </w:p>
                <w:p w:rsidR="00BC0534" w:rsidRDefault="00BC0534" w:rsidP="00BC0534">
                  <w:pPr>
                    <w:ind w:left="284" w:right="27" w:hanging="284"/>
                    <w:jc w:val="lowKashida"/>
                  </w:pPr>
                  <w:r>
                    <w:t>     The majority of respondents (75%) say that the Parliament must elect the prime minister; only 16% feel that the president must select the prime minister after consultations with the Parliament.</w:t>
                  </w:r>
                </w:p>
                <w:p w:rsidR="00BC0534" w:rsidRDefault="00BC0534" w:rsidP="00BC0534">
                  <w:pPr>
                    <w:spacing w:before="100" w:beforeAutospacing="1" w:after="100" w:afterAutospacing="1"/>
                    <w:ind w:right="27"/>
                  </w:pPr>
                  <w:r>
                    <w:rPr>
                      <w:noProof/>
                    </w:rPr>
                    <w:lastRenderedPageBreak/>
                    <w:drawing>
                      <wp:inline distT="0" distB="0" distL="0" distR="0">
                        <wp:extent cx="6238875" cy="2905125"/>
                        <wp:effectExtent l="0" t="0" r="0" b="0"/>
                        <wp:docPr id="4" name="Picture 4" descr="http://home.birzeit.edu/cds/opinionpolls/poll10/analysis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me.birzeit.edu/cds/opinionpolls/poll10/analysis_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8875" cy="2905125"/>
                                </a:xfrm>
                                <a:prstGeom prst="rect">
                                  <a:avLst/>
                                </a:prstGeom>
                                <a:noFill/>
                                <a:ln>
                                  <a:noFill/>
                                </a:ln>
                              </pic:spPr>
                            </pic:pic>
                          </a:graphicData>
                        </a:graphic>
                      </wp:inline>
                    </w:drawing>
                  </w:r>
                  <w:r>
                    <w:br w:type="textWrapping" w:clear="all"/>
                    <w:t> </w:t>
                  </w:r>
                </w:p>
                <w:p w:rsidR="00BC0534" w:rsidRDefault="00BC0534" w:rsidP="00BC0534">
                  <w:pPr>
                    <w:spacing w:before="100" w:beforeAutospacing="1" w:after="100" w:afterAutospacing="1"/>
                    <w:ind w:right="27"/>
                    <w:jc w:val="center"/>
                  </w:pPr>
                  <w:r>
                    <w:rPr>
                      <w:b/>
                      <w:bCs/>
                      <w:u w:val="single"/>
                    </w:rPr>
                    <w:t>Elections</w:t>
                  </w:r>
                </w:p>
                <w:p w:rsidR="00BC0534" w:rsidRDefault="00BC0534" w:rsidP="00BC0534">
                  <w:pPr>
                    <w:numPr>
                      <w:ilvl w:val="0"/>
                      <w:numId w:val="46"/>
                    </w:numPr>
                    <w:spacing w:before="100" w:beforeAutospacing="1" w:after="100" w:afterAutospacing="1" w:line="240" w:lineRule="auto"/>
                    <w:ind w:right="27"/>
                  </w:pPr>
                  <w:r>
                    <w:t xml:space="preserve"> Palestinian </w:t>
                  </w:r>
                  <w:r>
                    <w:rPr>
                      <w:rStyle w:val="grame"/>
                    </w:rPr>
                    <w:t>are</w:t>
                  </w:r>
                  <w:r>
                    <w:t xml:space="preserve"> divided about holding a presidential election, where 50% support such an idea and 48% oppose it.</w:t>
                  </w:r>
                </w:p>
                <w:p w:rsidR="00BC0534" w:rsidRDefault="00BC0534" w:rsidP="00BC0534">
                  <w:pPr>
                    <w:pStyle w:val="BlockText"/>
                    <w:numPr>
                      <w:ilvl w:val="0"/>
                      <w:numId w:val="46"/>
                    </w:numPr>
                    <w:spacing w:before="0" w:beforeAutospacing="0" w:after="0" w:afterAutospacing="0"/>
                    <w:ind w:left="1080" w:right="360"/>
                    <w:jc w:val="lowKashida"/>
                  </w:pPr>
                  <w:r>
                    <w:t>port for parliamentary elections is higher than presidential election, where 64% support such elections.</w:t>
                  </w:r>
                </w:p>
                <w:p w:rsidR="00BC0534" w:rsidRDefault="00BC0534" w:rsidP="00BC0534">
                  <w:pPr>
                    <w:pStyle w:val="BlockText"/>
                    <w:numPr>
                      <w:ilvl w:val="0"/>
                      <w:numId w:val="46"/>
                    </w:numPr>
                    <w:spacing w:before="0" w:beforeAutospacing="0" w:after="0" w:afterAutospacing="0"/>
                    <w:ind w:left="1080" w:right="360"/>
                    <w:jc w:val="lowKashida"/>
                  </w:pPr>
                  <w:r>
                    <w:t xml:space="preserve">Another majority (70%) supports local council election.  </w:t>
                  </w:r>
                </w:p>
                <w:p w:rsidR="00BC0534" w:rsidRDefault="00BC0534" w:rsidP="00BC0534">
                  <w:pPr>
                    <w:pStyle w:val="BlockText"/>
                    <w:numPr>
                      <w:ilvl w:val="0"/>
                      <w:numId w:val="46"/>
                    </w:numPr>
                    <w:spacing w:before="0" w:beforeAutospacing="0" w:after="0" w:afterAutospacing="0"/>
                    <w:ind w:left="1080" w:right="360"/>
                    <w:jc w:val="lowKashida"/>
                  </w:pPr>
                  <w:r>
                    <w:t>At the same time, 70% support a reshuffle of the membership of the Palestinian National Council (a body of the PLO representing Palestinians all over the world).</w:t>
                  </w:r>
                </w:p>
                <w:p w:rsidR="00BC0534" w:rsidRDefault="00BC0534" w:rsidP="00BC0534">
                  <w:pPr>
                    <w:ind w:left="284" w:right="27" w:hanging="284"/>
                    <w:jc w:val="lowKashida"/>
                  </w:pPr>
                  <w:r>
                    <w:t> </w:t>
                  </w:r>
                </w:p>
                <w:p w:rsidR="00BC0534" w:rsidRDefault="00BC0534" w:rsidP="00BC0534">
                  <w:pPr>
                    <w:ind w:left="284" w:right="27" w:hanging="284"/>
                    <w:jc w:val="lowKashida"/>
                  </w:pPr>
                  <w:r>
                    <w:rPr>
                      <w:noProof/>
                    </w:rPr>
                    <w:drawing>
                      <wp:inline distT="0" distB="0" distL="0" distR="0">
                        <wp:extent cx="5581650" cy="2524125"/>
                        <wp:effectExtent l="0" t="0" r="0" b="0"/>
                        <wp:docPr id="3" name="Picture 3" descr="http://home.birzeit.edu/cds/opinionpolls/poll10/analysis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ome.birzeit.edu/cds/opinionpolls/poll10/analysis_files/image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rsidR="00BC0534" w:rsidRDefault="00BC0534" w:rsidP="00BC0534">
                  <w:pPr>
                    <w:spacing w:before="100" w:beforeAutospacing="1" w:after="100" w:afterAutospacing="1"/>
                    <w:ind w:right="27"/>
                    <w:jc w:val="center"/>
                  </w:pPr>
                  <w:r>
                    <w:rPr>
                      <w:b/>
                      <w:bCs/>
                      <w:u w:val="single"/>
                    </w:rPr>
                    <w:t>The Cairo Dialogue</w:t>
                  </w:r>
                </w:p>
                <w:p w:rsidR="00BC0534" w:rsidRDefault="00BC0534" w:rsidP="00BC0534">
                  <w:pPr>
                    <w:spacing w:before="100" w:beforeAutospacing="1" w:after="100" w:afterAutospacing="1"/>
                    <w:ind w:right="27"/>
                  </w:pPr>
                  <w:r>
                    <w:lastRenderedPageBreak/>
                    <w:t> </w:t>
                  </w:r>
                </w:p>
                <w:p w:rsidR="00BC0534" w:rsidRDefault="00BC0534" w:rsidP="00BC0534">
                  <w:pPr>
                    <w:pStyle w:val="BlockText"/>
                    <w:numPr>
                      <w:ilvl w:val="0"/>
                      <w:numId w:val="47"/>
                    </w:numPr>
                    <w:spacing w:before="0" w:beforeAutospacing="0" w:after="0" w:afterAutospacing="0"/>
                    <w:ind w:left="1080" w:right="360"/>
                    <w:jc w:val="lowKashida"/>
                  </w:pPr>
                  <w:r>
                    <w:t xml:space="preserve"> Most respondents do not expect much from the dialogue that is taking place in Cairo amongst Palestinian political groups. Only 44% believe that these groups will be able to reach an agreement amongst </w:t>
                  </w:r>
                  <w:r>
                    <w:rPr>
                      <w:rStyle w:val="grame"/>
                    </w:rPr>
                    <w:t>themselves</w:t>
                  </w:r>
                  <w:r>
                    <w:t>. In contrast, 52% feel otherwise.</w:t>
                  </w:r>
                </w:p>
                <w:p w:rsidR="00BC0534" w:rsidRDefault="00BC0534" w:rsidP="00BC0534">
                  <w:pPr>
                    <w:numPr>
                      <w:ilvl w:val="0"/>
                      <w:numId w:val="47"/>
                    </w:numPr>
                    <w:spacing w:after="0" w:line="240" w:lineRule="auto"/>
                    <w:ind w:left="1004" w:right="27" w:hanging="284"/>
                    <w:jc w:val="lowKashida"/>
                  </w:pPr>
                  <w:r>
                    <w:t> And while a majority (69%) feels that these groups do no take the views of the public into account, they believe that they are into this dialogue to (achieve national interest). About 31% felt that they aim at achieving partisan interests.</w:t>
                  </w:r>
                </w:p>
                <w:p w:rsidR="00BC0534" w:rsidRDefault="00BC0534" w:rsidP="00BC0534">
                  <w:pPr>
                    <w:pStyle w:val="BlockText"/>
                    <w:numPr>
                      <w:ilvl w:val="0"/>
                      <w:numId w:val="47"/>
                    </w:numPr>
                    <w:spacing w:before="0" w:beforeAutospacing="0" w:after="0" w:afterAutospacing="0"/>
                    <w:ind w:firstLine="0"/>
                    <w:jc w:val="lowKashida"/>
                  </w:pPr>
                  <w:r>
                    <w:t> A large group of respondents (44%) feel that the PLO leadership must be the primary decision - making body. In contrast, 35% feel that the Palestinian National Authority's leadership must be the decision - maker. About 21% were not sure.</w:t>
                  </w:r>
                </w:p>
                <w:p w:rsidR="00BC0534" w:rsidRDefault="00BC0534" w:rsidP="00BC0534">
                  <w:pPr>
                    <w:pStyle w:val="BlockText"/>
                    <w:numPr>
                      <w:ilvl w:val="0"/>
                      <w:numId w:val="47"/>
                    </w:numPr>
                    <w:spacing w:before="0" w:beforeAutospacing="0" w:after="0" w:afterAutospacing="0"/>
                    <w:ind w:firstLine="0"/>
                    <w:jc w:val="lowKashida"/>
                  </w:pPr>
                  <w:r>
                    <w:t> About 90% of the respondents believe that it is necessary for all political groups to abide by decisions made by an elected Palestinian government.</w:t>
                  </w:r>
                </w:p>
                <w:p w:rsidR="00BC0534" w:rsidRDefault="00BC0534" w:rsidP="00BC0534">
                  <w:pPr>
                    <w:pStyle w:val="BlockText"/>
                    <w:spacing w:before="0" w:beforeAutospacing="0" w:after="0" w:afterAutospacing="0"/>
                    <w:jc w:val="lowKashida"/>
                  </w:pPr>
                  <w:r>
                    <w:t>  </w:t>
                  </w:r>
                </w:p>
                <w:p w:rsidR="00BC0534" w:rsidRDefault="00BC0534" w:rsidP="00BC0534">
                  <w:pPr>
                    <w:spacing w:before="100" w:beforeAutospacing="1" w:after="100" w:afterAutospacing="1"/>
                    <w:ind w:right="27"/>
                    <w:jc w:val="center"/>
                  </w:pPr>
                  <w:r>
                    <w:rPr>
                      <w:b/>
                      <w:bCs/>
                      <w:u w:val="single"/>
                    </w:rPr>
                    <w:t>Palestinian Political Groups</w:t>
                  </w:r>
                </w:p>
                <w:p w:rsidR="00BC0534" w:rsidRDefault="00BC0534" w:rsidP="00BC0534">
                  <w:pPr>
                    <w:pStyle w:val="BlockText"/>
                    <w:numPr>
                      <w:ilvl w:val="0"/>
                      <w:numId w:val="48"/>
                    </w:numPr>
                    <w:spacing w:before="0" w:beforeAutospacing="0" w:after="0" w:afterAutospacing="0"/>
                    <w:ind w:left="1080" w:right="360"/>
                    <w:jc w:val="lowKashida"/>
                  </w:pPr>
                  <w:r>
                    <w:t>Over 72% of respondents believe that Palestinian political groups do not implement democratic - transparent mechanisms in their internal party - related practices.</w:t>
                  </w:r>
                </w:p>
                <w:p w:rsidR="00BC0534" w:rsidRDefault="00BC0534" w:rsidP="00BC0534">
                  <w:pPr>
                    <w:pStyle w:val="BlockText"/>
                    <w:numPr>
                      <w:ilvl w:val="0"/>
                      <w:numId w:val="48"/>
                    </w:numPr>
                    <w:spacing w:before="0" w:beforeAutospacing="0" w:after="0" w:afterAutospacing="0"/>
                    <w:ind w:firstLine="0"/>
                    <w:jc w:val="lowKashida"/>
                  </w:pPr>
                  <w:r>
                    <w:t> Dissatisfaction with political groups is reflected in that fact that 51% of the respondents express that they do not support any of the existing political groups.</w:t>
                  </w:r>
                </w:p>
                <w:p w:rsidR="00BC0534" w:rsidRDefault="00BC0534" w:rsidP="00BC0534">
                  <w:pPr>
                    <w:pStyle w:val="BlockText"/>
                    <w:numPr>
                      <w:ilvl w:val="0"/>
                      <w:numId w:val="48"/>
                    </w:numPr>
                    <w:spacing w:before="0" w:beforeAutospacing="0" w:after="0" w:afterAutospacing="0"/>
                    <w:ind w:firstLine="0"/>
                    <w:jc w:val="lowKashida"/>
                  </w:pPr>
                  <w:r>
                    <w:rPr>
                      <w:rStyle w:val="spelle"/>
                    </w:rPr>
                    <w:t>Fateh</w:t>
                  </w:r>
                  <w:r>
                    <w:t xml:space="preserve"> received 24% support; </w:t>
                  </w:r>
                  <w:r>
                    <w:rPr>
                      <w:rStyle w:val="spelle"/>
                    </w:rPr>
                    <w:t>Hamas</w:t>
                  </w:r>
                  <w:r>
                    <w:t xml:space="preserve"> received 14% and Islamic Jihad received less than 6%.</w:t>
                  </w:r>
                </w:p>
                <w:p w:rsidR="00BC0534" w:rsidRDefault="00BC0534" w:rsidP="00BC0534">
                  <w:pPr>
                    <w:pStyle w:val="BlockText"/>
                    <w:numPr>
                      <w:ilvl w:val="0"/>
                      <w:numId w:val="48"/>
                    </w:numPr>
                    <w:spacing w:before="0" w:beforeAutospacing="0" w:after="0" w:afterAutospacing="0"/>
                    <w:ind w:firstLine="0"/>
                    <w:jc w:val="lowKashida"/>
                  </w:pPr>
                  <w:r>
                    <w:t xml:space="preserve">When independents (comprising 51%) were asked to express their (leaning), they were divided as follows: about 15% with Islamic leaning; 6% with leaning to </w:t>
                  </w:r>
                  <w:r>
                    <w:rPr>
                      <w:rStyle w:val="spelle"/>
                    </w:rPr>
                    <w:t>Fateh</w:t>
                  </w:r>
                  <w:r>
                    <w:t xml:space="preserve">, and 2% with leftist leaning.   </w:t>
                  </w:r>
                </w:p>
                <w:p w:rsidR="00BC0534" w:rsidRDefault="00BC0534" w:rsidP="00BC0534">
                  <w:pPr>
                    <w:pStyle w:val="BlockText"/>
                    <w:numPr>
                      <w:ilvl w:val="0"/>
                      <w:numId w:val="48"/>
                    </w:numPr>
                    <w:spacing w:before="0" w:beforeAutospacing="0" w:after="0" w:afterAutospacing="0"/>
                    <w:ind w:firstLine="0"/>
                    <w:jc w:val="lowKashida"/>
                  </w:pPr>
                  <w:r>
                    <w:t xml:space="preserve">Given these data, respondents might be divided as follows: Islamic support or leaning (34%); </w:t>
                  </w:r>
                  <w:r>
                    <w:rPr>
                      <w:rStyle w:val="spelle"/>
                    </w:rPr>
                    <w:t>Fateh</w:t>
                  </w:r>
                  <w:r>
                    <w:t xml:space="preserve"> support or leaning (30%); leftists support or leaning (7%); support for no one (29%).</w:t>
                  </w:r>
                </w:p>
                <w:p w:rsidR="00BC0534" w:rsidRDefault="00BC0534" w:rsidP="00BC0534">
                  <w:pPr>
                    <w:spacing w:before="100" w:beforeAutospacing="1" w:after="100" w:afterAutospacing="1"/>
                    <w:ind w:right="27"/>
                  </w:pPr>
                  <w:r>
                    <w:rPr>
                      <w:noProof/>
                    </w:rPr>
                    <w:drawing>
                      <wp:inline distT="0" distB="0" distL="0" distR="0">
                        <wp:extent cx="5572125" cy="2962275"/>
                        <wp:effectExtent l="0" t="0" r="9525" b="0"/>
                        <wp:docPr id="1" name="Picture 1" descr="http://home.birzeit.edu/cds/opinionpolls/poll10/analysis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ome.birzeit.edu/cds/opinionpolls/poll10/analysis_files/image0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125" cy="2962275"/>
                                </a:xfrm>
                                <a:prstGeom prst="rect">
                                  <a:avLst/>
                                </a:prstGeom>
                                <a:noFill/>
                                <a:ln>
                                  <a:noFill/>
                                </a:ln>
                              </pic:spPr>
                            </pic:pic>
                          </a:graphicData>
                        </a:graphic>
                      </wp:inline>
                    </w:drawing>
                  </w:r>
                </w:p>
                <w:p w:rsidR="00BC0534" w:rsidRDefault="00BC0534" w:rsidP="00BC0534">
                  <w:pPr>
                    <w:pStyle w:val="NormalWeb"/>
                    <w:bidi/>
                  </w:pPr>
                  <w:r>
                    <w:rPr>
                      <w:rtl/>
                    </w:rPr>
                    <w:lastRenderedPageBreak/>
                    <w:br w:type="textWrapping" w:clear="all"/>
                    <w:t> </w:t>
                  </w:r>
                </w:p>
                <w:p w:rsidR="00BC0534" w:rsidRDefault="00BC0534" w:rsidP="00BC0534">
                  <w:pPr>
                    <w:pStyle w:val="NormalWeb"/>
                    <w:bidi/>
                    <w:rPr>
                      <w:rtl/>
                    </w:rPr>
                  </w:pPr>
                  <w:r>
                    <w:rPr>
                      <w:rtl/>
                    </w:rPr>
                    <w:t> </w:t>
                  </w:r>
                </w:p>
                <w:p w:rsidR="00BC0534" w:rsidRDefault="00BC0534" w:rsidP="00BC0534">
                  <w:pPr>
                    <w:spacing w:before="100" w:beforeAutospacing="1" w:after="100" w:afterAutospacing="1"/>
                    <w:ind w:right="27"/>
                    <w:rPr>
                      <w:rtl/>
                    </w:rPr>
                  </w:pPr>
                  <w:r>
                    <w:rPr>
                      <w:b/>
                      <w:bCs/>
                      <w:u w:val="single"/>
                    </w:rPr>
                    <w:t>In conclusion</w:t>
                  </w:r>
                  <w:r>
                    <w:t xml:space="preserve"> the results show that there is a majority support for some propositions, while there is a split over others (as illustrated in the following table).</w:t>
                  </w:r>
                </w:p>
                <w:tbl>
                  <w:tblPr>
                    <w:tblW w:w="10320" w:type="dxa"/>
                    <w:tblCellMar>
                      <w:left w:w="0" w:type="dxa"/>
                      <w:right w:w="0" w:type="dxa"/>
                    </w:tblCellMar>
                    <w:tblLook w:val="04A0" w:firstRow="1" w:lastRow="0" w:firstColumn="1" w:lastColumn="0" w:noHBand="0" w:noVBand="1"/>
                  </w:tblPr>
                  <w:tblGrid>
                    <w:gridCol w:w="5388"/>
                    <w:gridCol w:w="4932"/>
                  </w:tblGrid>
                  <w:tr w:rsidR="00BC0534" w:rsidTr="00BC0534">
                    <w:tc>
                      <w:tcPr>
                        <w:tcW w:w="5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534" w:rsidRDefault="00BC0534">
                        <w:pPr>
                          <w:spacing w:before="100" w:beforeAutospacing="1" w:after="100" w:afterAutospacing="1"/>
                          <w:ind w:right="27"/>
                        </w:pPr>
                        <w:r>
                          <w:rPr>
                            <w:b/>
                            <w:bCs/>
                          </w:rPr>
                          <w:t>Majority</w:t>
                        </w:r>
                      </w:p>
                    </w:tc>
                    <w:tc>
                      <w:tcPr>
                        <w:tcW w:w="4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534" w:rsidRDefault="00BC0534">
                        <w:pPr>
                          <w:spacing w:before="100" w:beforeAutospacing="1" w:after="100" w:afterAutospacing="1"/>
                          <w:ind w:right="27"/>
                        </w:pPr>
                        <w:r>
                          <w:rPr>
                            <w:b/>
                            <w:bCs/>
                          </w:rPr>
                          <w:t>Split</w:t>
                        </w:r>
                      </w:p>
                    </w:tc>
                  </w:tr>
                  <w:tr w:rsidR="00BC0534" w:rsidTr="00BC0534">
                    <w:tc>
                      <w:tcPr>
                        <w:tcW w:w="5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534" w:rsidRDefault="00BC0534" w:rsidP="00BC0534">
                        <w:pPr>
                          <w:numPr>
                            <w:ilvl w:val="0"/>
                            <w:numId w:val="49"/>
                          </w:numPr>
                          <w:spacing w:after="0" w:line="240" w:lineRule="auto"/>
                        </w:pPr>
                        <w:r>
                          <w:t>Halting attacks inside Israel</w:t>
                        </w:r>
                      </w:p>
                      <w:p w:rsidR="00BC0534" w:rsidRDefault="00BC0534" w:rsidP="00BC0534">
                        <w:pPr>
                          <w:pStyle w:val="BlockText"/>
                          <w:numPr>
                            <w:ilvl w:val="0"/>
                            <w:numId w:val="49"/>
                          </w:numPr>
                          <w:spacing w:before="0" w:beforeAutospacing="0" w:after="0" w:afterAutospacing="0"/>
                        </w:pPr>
                        <w:r>
                          <w:t>Democratic, parliamentary, pluralistic system</w:t>
                        </w:r>
                      </w:p>
                      <w:p w:rsidR="00BC0534" w:rsidRDefault="00BC0534" w:rsidP="00BC0534">
                        <w:pPr>
                          <w:pStyle w:val="BlockText"/>
                          <w:numPr>
                            <w:ilvl w:val="0"/>
                            <w:numId w:val="49"/>
                          </w:numPr>
                          <w:spacing w:before="0" w:beforeAutospacing="0" w:after="0" w:afterAutospacing="0"/>
                        </w:pPr>
                        <w:r>
                          <w:t>Holding parliamentary and local council elections</w:t>
                        </w:r>
                      </w:p>
                      <w:p w:rsidR="00BC0534" w:rsidRDefault="00BC0534" w:rsidP="00BC0534">
                        <w:pPr>
                          <w:pStyle w:val="BlockText"/>
                          <w:numPr>
                            <w:ilvl w:val="0"/>
                            <w:numId w:val="49"/>
                          </w:numPr>
                          <w:spacing w:before="0" w:beforeAutospacing="0" w:after="0" w:afterAutospacing="0"/>
                        </w:pPr>
                        <w:r>
                          <w:t>Restructuring the Palestinian National Council</w:t>
                        </w:r>
                      </w:p>
                      <w:p w:rsidR="00BC0534" w:rsidRDefault="00BC0534" w:rsidP="00BC0534">
                        <w:pPr>
                          <w:pStyle w:val="BlockText"/>
                          <w:numPr>
                            <w:ilvl w:val="0"/>
                            <w:numId w:val="49"/>
                          </w:numPr>
                          <w:spacing w:before="0" w:beforeAutospacing="0" w:after="0" w:afterAutospacing="0"/>
                        </w:pPr>
                        <w:r>
                          <w:t>Palestinian political groups do no take views of public into account</w:t>
                        </w:r>
                      </w:p>
                      <w:p w:rsidR="00BC0534" w:rsidRDefault="00BC0534" w:rsidP="00BC0534">
                        <w:pPr>
                          <w:pStyle w:val="BlockText"/>
                          <w:numPr>
                            <w:ilvl w:val="0"/>
                            <w:numId w:val="49"/>
                          </w:numPr>
                          <w:spacing w:before="0" w:beforeAutospacing="0" w:after="0" w:afterAutospacing="0"/>
                        </w:pPr>
                        <w:r>
                          <w:t>Palestinian political groups are not transparent internally</w:t>
                        </w:r>
                      </w:p>
                      <w:p w:rsidR="00BC0534" w:rsidRDefault="00BC0534" w:rsidP="00BC0534">
                        <w:pPr>
                          <w:pStyle w:val="BlockText"/>
                          <w:numPr>
                            <w:ilvl w:val="0"/>
                            <w:numId w:val="49"/>
                          </w:numPr>
                          <w:spacing w:before="0" w:beforeAutospacing="0" w:after="0" w:afterAutospacing="0"/>
                        </w:pPr>
                        <w:r>
                          <w:t>A role for the state in promoting women's rights</w:t>
                        </w:r>
                      </w:p>
                      <w:p w:rsidR="00BC0534" w:rsidRDefault="00BC0534">
                        <w:r>
                          <w:t> </w:t>
                        </w:r>
                      </w:p>
                    </w:tc>
                    <w:tc>
                      <w:tcPr>
                        <w:tcW w:w="4710" w:type="dxa"/>
                        <w:tcBorders>
                          <w:top w:val="nil"/>
                          <w:left w:val="nil"/>
                          <w:bottom w:val="single" w:sz="8" w:space="0" w:color="auto"/>
                          <w:right w:val="single" w:sz="8" w:space="0" w:color="auto"/>
                        </w:tcBorders>
                        <w:tcMar>
                          <w:top w:w="0" w:type="dxa"/>
                          <w:left w:w="108" w:type="dxa"/>
                          <w:bottom w:w="0" w:type="dxa"/>
                          <w:right w:w="108" w:type="dxa"/>
                        </w:tcMar>
                        <w:hideMark/>
                      </w:tcPr>
                      <w:p w:rsidR="00BC0534" w:rsidRDefault="00BC0534" w:rsidP="00BC0534">
                        <w:pPr>
                          <w:pStyle w:val="BlockText"/>
                          <w:numPr>
                            <w:ilvl w:val="0"/>
                            <w:numId w:val="50"/>
                          </w:numPr>
                          <w:spacing w:before="0" w:beforeAutospacing="0" w:after="0" w:afterAutospacing="0"/>
                        </w:pPr>
                        <w:r>
                          <w:t>Resumption of negotiations</w:t>
                        </w:r>
                      </w:p>
                      <w:p w:rsidR="00BC0534" w:rsidRDefault="00BC0534" w:rsidP="00BC0534">
                        <w:pPr>
                          <w:pStyle w:val="BlockText"/>
                          <w:numPr>
                            <w:ilvl w:val="0"/>
                            <w:numId w:val="50"/>
                          </w:numPr>
                          <w:spacing w:before="0" w:beforeAutospacing="0" w:after="0" w:afterAutospacing="0"/>
                        </w:pPr>
                        <w:r>
                          <w:t>Source or basis for legislation</w:t>
                        </w:r>
                      </w:p>
                      <w:p w:rsidR="00BC0534" w:rsidRDefault="00BC0534" w:rsidP="00BC0534">
                        <w:pPr>
                          <w:pStyle w:val="BlockText"/>
                          <w:numPr>
                            <w:ilvl w:val="0"/>
                            <w:numId w:val="50"/>
                          </w:numPr>
                          <w:spacing w:before="0" w:beforeAutospacing="0" w:after="0" w:afterAutospacing="0"/>
                        </w:pPr>
                        <w:r>
                          <w:t>Holding Presidential elections</w:t>
                        </w:r>
                      </w:p>
                      <w:p w:rsidR="00BC0534" w:rsidRDefault="00BC0534" w:rsidP="00BC0534">
                        <w:pPr>
                          <w:pStyle w:val="BlockText"/>
                          <w:numPr>
                            <w:ilvl w:val="0"/>
                            <w:numId w:val="50"/>
                          </w:numPr>
                          <w:spacing w:before="0" w:beforeAutospacing="0" w:after="0" w:afterAutospacing="0"/>
                        </w:pPr>
                        <w:r>
                          <w:t>Confidence in the Cairo Dialogue</w:t>
                        </w:r>
                      </w:p>
                      <w:p w:rsidR="00BC0534" w:rsidRDefault="00BC0534" w:rsidP="00BC0534">
                        <w:pPr>
                          <w:pStyle w:val="BlockText"/>
                          <w:numPr>
                            <w:ilvl w:val="0"/>
                            <w:numId w:val="50"/>
                          </w:numPr>
                          <w:spacing w:before="0" w:beforeAutospacing="0" w:after="0" w:afterAutospacing="0"/>
                        </w:pPr>
                        <w:r>
                          <w:t>Body responsible for decision - making</w:t>
                        </w:r>
                      </w:p>
                      <w:p w:rsidR="00BC0534" w:rsidRDefault="00BC0534" w:rsidP="00BC0534">
                        <w:pPr>
                          <w:pStyle w:val="BlockText"/>
                          <w:numPr>
                            <w:ilvl w:val="0"/>
                            <w:numId w:val="50"/>
                          </w:numPr>
                          <w:spacing w:before="0" w:beforeAutospacing="0" w:after="0" w:afterAutospacing="0"/>
                        </w:pPr>
                        <w:r>
                          <w:t>Political affiliation</w:t>
                        </w:r>
                      </w:p>
                      <w:p w:rsidR="00BC0534" w:rsidRDefault="00BC0534">
                        <w:pPr>
                          <w:pStyle w:val="BlockText"/>
                          <w:spacing w:before="0" w:beforeAutospacing="0" w:after="0" w:afterAutospacing="0"/>
                        </w:pPr>
                        <w:r>
                          <w:t> </w:t>
                        </w:r>
                      </w:p>
                    </w:tc>
                  </w:tr>
                </w:tbl>
                <w:p w:rsidR="00BC0534" w:rsidRDefault="00BC0534" w:rsidP="00BC0534">
                  <w:pPr>
                    <w:spacing w:before="100" w:beforeAutospacing="1" w:after="100" w:afterAutospacing="1"/>
                    <w:ind w:right="27"/>
                  </w:pPr>
                  <w:r>
                    <w:rPr>
                      <w:rFonts w:ascii="Arial" w:hAnsi="Arial" w:cs="Arial"/>
                    </w:rPr>
                    <w:t> </w:t>
                  </w:r>
                </w:p>
                <w:p w:rsidR="00BC0534" w:rsidRDefault="00BC0534" w:rsidP="00BC0534">
                  <w:pPr>
                    <w:spacing w:before="100" w:beforeAutospacing="1" w:after="100" w:afterAutospacing="1"/>
                    <w:ind w:right="27"/>
                  </w:pPr>
                  <w:r>
                    <w:t> </w:t>
                  </w:r>
                </w:p>
              </w:tc>
            </w:tr>
            <w:tr w:rsidR="00BC0534">
              <w:tc>
                <w:tcPr>
                  <w:tcW w:w="12375" w:type="dxa"/>
                  <w:tcBorders>
                    <w:top w:val="nil"/>
                    <w:left w:val="nil"/>
                    <w:bottom w:val="nil"/>
                    <w:right w:val="nil"/>
                  </w:tcBorders>
                  <w:vAlign w:val="center"/>
                  <w:hideMark/>
                </w:tcPr>
                <w:p w:rsidR="00BC0534" w:rsidRDefault="00BC0534">
                  <w:pPr>
                    <w:pStyle w:val="NormalWeb"/>
                    <w:spacing w:before="0" w:beforeAutospacing="0" w:after="0" w:afterAutospacing="0"/>
                  </w:pPr>
                  <w:r>
                    <w:lastRenderedPageBreak/>
                    <w:t> </w:t>
                  </w:r>
                </w:p>
              </w:tc>
            </w:tr>
          </w:tbl>
          <w:p w:rsidR="00BC0534" w:rsidRDefault="00BC0534"/>
        </w:tc>
        <w:tc>
          <w:tcPr>
            <w:tcW w:w="315" w:type="dxa"/>
            <w:vAlign w:val="center"/>
            <w:hideMark/>
          </w:tcPr>
          <w:p w:rsidR="00BC0534" w:rsidRDefault="00BC0534">
            <w:pPr>
              <w:rPr>
                <w:sz w:val="24"/>
                <w:szCs w:val="24"/>
              </w:rPr>
            </w:pPr>
            <w:r>
              <w:lastRenderedPageBreak/>
              <w:t> </w:t>
            </w:r>
          </w:p>
        </w:tc>
      </w:tr>
      <w:tr w:rsidR="00BC0534" w:rsidTr="00BC0534">
        <w:trPr>
          <w:trHeight w:val="345"/>
          <w:tblCellSpacing w:w="0" w:type="dxa"/>
          <w:jc w:val="center"/>
        </w:trPr>
        <w:tc>
          <w:tcPr>
            <w:tcW w:w="300" w:type="dxa"/>
            <w:vAlign w:val="center"/>
            <w:hideMark/>
          </w:tcPr>
          <w:p w:rsidR="00BC0534" w:rsidRDefault="00BC0534">
            <w:r>
              <w:lastRenderedPageBreak/>
              <w:t> </w:t>
            </w:r>
          </w:p>
        </w:tc>
        <w:tc>
          <w:tcPr>
            <w:tcW w:w="1500" w:type="pct"/>
            <w:vAlign w:val="center"/>
            <w:hideMark/>
          </w:tcPr>
          <w:p w:rsidR="00BC0534" w:rsidRDefault="00BC0534">
            <w:r>
              <w:rPr>
                <w:rFonts w:ascii="Arial" w:hAnsi="Arial" w:cs="Arial"/>
              </w:rPr>
              <w:t>   </w:t>
            </w:r>
          </w:p>
        </w:tc>
        <w:tc>
          <w:tcPr>
            <w:tcW w:w="150" w:type="dxa"/>
            <w:vAlign w:val="center"/>
            <w:hideMark/>
          </w:tcPr>
          <w:p w:rsidR="00BC0534" w:rsidRDefault="00BC0534"/>
        </w:tc>
        <w:tc>
          <w:tcPr>
            <w:tcW w:w="0" w:type="auto"/>
            <w:vAlign w:val="center"/>
            <w:hideMark/>
          </w:tcPr>
          <w:p w:rsidR="00BC0534" w:rsidRDefault="00BC0534">
            <w:pPr>
              <w:rPr>
                <w:sz w:val="24"/>
                <w:szCs w:val="24"/>
              </w:rPr>
            </w:pPr>
            <w:r>
              <w:rPr>
                <w:rFonts w:ascii="Arial" w:hAnsi="Arial" w:cs="Arial"/>
              </w:rPr>
              <w:t>   </w:t>
            </w:r>
          </w:p>
        </w:tc>
        <w:tc>
          <w:tcPr>
            <w:tcW w:w="300" w:type="dxa"/>
            <w:vAlign w:val="center"/>
            <w:hideMark/>
          </w:tcPr>
          <w:p w:rsidR="00BC0534" w:rsidRDefault="00BC0534"/>
        </w:tc>
      </w:tr>
    </w:tbl>
    <w:p w:rsidR="00BC0534" w:rsidRDefault="00BC0534" w:rsidP="00BC0534">
      <w:pPr>
        <w:jc w:val="center"/>
        <w:rPr>
          <w:sz w:val="24"/>
          <w:szCs w:val="24"/>
        </w:rPr>
      </w:pPr>
      <w:r>
        <w:rPr>
          <w:rFonts w:ascii="Arial" w:hAnsi="Arial" w:cs="Arial"/>
        </w:rPr>
        <w:t>  </w:t>
      </w:r>
      <w:hyperlink r:id="rId16" w:anchor="top" w:history="1">
        <w:r>
          <w:rPr>
            <w:rStyle w:val="Hyperlink"/>
            <w:rFonts w:ascii="Arial" w:hAnsi="Arial" w:cs="Arial"/>
          </w:rPr>
          <w:t>Top of this page</w:t>
        </w:r>
      </w:hyperlink>
      <w:r>
        <w:rPr>
          <w:rFonts w:ascii="Arial" w:hAnsi="Arial" w:cs="Arial"/>
        </w:rPr>
        <w:t xml:space="preserve">    |    </w:t>
      </w:r>
      <w:hyperlink r:id="rId17" w:history="1">
        <w:r>
          <w:rPr>
            <w:rStyle w:val="Hyperlink"/>
            <w:rFonts w:ascii="Arial" w:hAnsi="Arial" w:cs="Arial"/>
          </w:rPr>
          <w:t>DSP Home</w:t>
        </w:r>
      </w:hyperlink>
      <w:r>
        <w:rPr>
          <w:rFonts w:ascii="Arial" w:hAnsi="Arial" w:cs="Arial"/>
        </w:rPr>
        <w:t xml:space="preserve">             </w:t>
      </w:r>
    </w:p>
    <w:p w:rsidR="000F5B3B" w:rsidRPr="00BC0534" w:rsidRDefault="000F5B3B" w:rsidP="00BC0534">
      <w:bookmarkStart w:id="1" w:name="_GoBack"/>
      <w:bookmarkEnd w:id="1"/>
    </w:p>
    <w:sectPr w:rsidR="000F5B3B" w:rsidRPr="00BC0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66"/>
    <w:multiLevelType w:val="multilevel"/>
    <w:tmpl w:val="E8E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4927"/>
    <w:multiLevelType w:val="multilevel"/>
    <w:tmpl w:val="56B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AB195A"/>
    <w:multiLevelType w:val="multilevel"/>
    <w:tmpl w:val="A6BC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2471FE"/>
    <w:multiLevelType w:val="multilevel"/>
    <w:tmpl w:val="C596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CE1CBF"/>
    <w:multiLevelType w:val="multilevel"/>
    <w:tmpl w:val="035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93A9C"/>
    <w:multiLevelType w:val="multilevel"/>
    <w:tmpl w:val="54F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F93E31"/>
    <w:multiLevelType w:val="multilevel"/>
    <w:tmpl w:val="34A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9B14CB"/>
    <w:multiLevelType w:val="multilevel"/>
    <w:tmpl w:val="E088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6D6BAF"/>
    <w:multiLevelType w:val="multilevel"/>
    <w:tmpl w:val="E68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8C1FF2"/>
    <w:multiLevelType w:val="multilevel"/>
    <w:tmpl w:val="66F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C07BF"/>
    <w:multiLevelType w:val="multilevel"/>
    <w:tmpl w:val="9140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787C6E"/>
    <w:multiLevelType w:val="multilevel"/>
    <w:tmpl w:val="CC0A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744E2D"/>
    <w:multiLevelType w:val="multilevel"/>
    <w:tmpl w:val="A1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D1ADD"/>
    <w:multiLevelType w:val="multilevel"/>
    <w:tmpl w:val="93F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3E121D"/>
    <w:multiLevelType w:val="multilevel"/>
    <w:tmpl w:val="2C2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4F1E70"/>
    <w:multiLevelType w:val="multilevel"/>
    <w:tmpl w:val="ED20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6F13A1"/>
    <w:multiLevelType w:val="multilevel"/>
    <w:tmpl w:val="705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446E0C"/>
    <w:multiLevelType w:val="multilevel"/>
    <w:tmpl w:val="28A2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801419"/>
    <w:multiLevelType w:val="multilevel"/>
    <w:tmpl w:val="92EE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854171"/>
    <w:multiLevelType w:val="multilevel"/>
    <w:tmpl w:val="92A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1D33B8"/>
    <w:multiLevelType w:val="multilevel"/>
    <w:tmpl w:val="A03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694E77"/>
    <w:multiLevelType w:val="multilevel"/>
    <w:tmpl w:val="F77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F93600"/>
    <w:multiLevelType w:val="multilevel"/>
    <w:tmpl w:val="94B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1"/>
  </w:num>
  <w:num w:numId="3">
    <w:abstractNumId w:val="45"/>
  </w:num>
  <w:num w:numId="4">
    <w:abstractNumId w:val="33"/>
  </w:num>
  <w:num w:numId="5">
    <w:abstractNumId w:val="19"/>
  </w:num>
  <w:num w:numId="6">
    <w:abstractNumId w:val="7"/>
  </w:num>
  <w:num w:numId="7">
    <w:abstractNumId w:val="47"/>
  </w:num>
  <w:num w:numId="8">
    <w:abstractNumId w:val="39"/>
  </w:num>
  <w:num w:numId="9">
    <w:abstractNumId w:val="28"/>
  </w:num>
  <w:num w:numId="10">
    <w:abstractNumId w:val="31"/>
  </w:num>
  <w:num w:numId="11">
    <w:abstractNumId w:val="27"/>
  </w:num>
  <w:num w:numId="12">
    <w:abstractNumId w:val="13"/>
  </w:num>
  <w:num w:numId="13">
    <w:abstractNumId w:val="20"/>
  </w:num>
  <w:num w:numId="14">
    <w:abstractNumId w:val="9"/>
  </w:num>
  <w:num w:numId="15">
    <w:abstractNumId w:val="48"/>
  </w:num>
  <w:num w:numId="16">
    <w:abstractNumId w:val="4"/>
  </w:num>
  <w:num w:numId="17">
    <w:abstractNumId w:val="46"/>
  </w:num>
  <w:num w:numId="18">
    <w:abstractNumId w:val="5"/>
  </w:num>
  <w:num w:numId="19">
    <w:abstractNumId w:val="44"/>
  </w:num>
  <w:num w:numId="20">
    <w:abstractNumId w:val="37"/>
  </w:num>
  <w:num w:numId="21">
    <w:abstractNumId w:val="3"/>
  </w:num>
  <w:num w:numId="22">
    <w:abstractNumId w:val="43"/>
  </w:num>
  <w:num w:numId="23">
    <w:abstractNumId w:val="42"/>
  </w:num>
  <w:num w:numId="24">
    <w:abstractNumId w:val="23"/>
  </w:num>
  <w:num w:numId="25">
    <w:abstractNumId w:val="22"/>
  </w:num>
  <w:num w:numId="26">
    <w:abstractNumId w:val="16"/>
  </w:num>
  <w:num w:numId="27">
    <w:abstractNumId w:val="1"/>
  </w:num>
  <w:num w:numId="28">
    <w:abstractNumId w:val="0"/>
  </w:num>
  <w:num w:numId="29">
    <w:abstractNumId w:val="32"/>
  </w:num>
  <w:num w:numId="30">
    <w:abstractNumId w:val="11"/>
  </w:num>
  <w:num w:numId="31">
    <w:abstractNumId w:val="26"/>
  </w:num>
  <w:num w:numId="32">
    <w:abstractNumId w:val="49"/>
  </w:num>
  <w:num w:numId="33">
    <w:abstractNumId w:val="25"/>
  </w:num>
  <w:num w:numId="34">
    <w:abstractNumId w:val="29"/>
  </w:num>
  <w:num w:numId="35">
    <w:abstractNumId w:val="10"/>
  </w:num>
  <w:num w:numId="36">
    <w:abstractNumId w:val="34"/>
  </w:num>
  <w:num w:numId="37">
    <w:abstractNumId w:val="14"/>
  </w:num>
  <w:num w:numId="38">
    <w:abstractNumId w:val="36"/>
  </w:num>
  <w:num w:numId="39">
    <w:abstractNumId w:val="17"/>
  </w:num>
  <w:num w:numId="40">
    <w:abstractNumId w:val="15"/>
  </w:num>
  <w:num w:numId="41">
    <w:abstractNumId w:val="30"/>
  </w:num>
  <w:num w:numId="42">
    <w:abstractNumId w:val="2"/>
  </w:num>
  <w:num w:numId="43">
    <w:abstractNumId w:val="12"/>
  </w:num>
  <w:num w:numId="44">
    <w:abstractNumId w:val="40"/>
  </w:num>
  <w:num w:numId="45">
    <w:abstractNumId w:val="6"/>
  </w:num>
  <w:num w:numId="46">
    <w:abstractNumId w:val="18"/>
  </w:num>
  <w:num w:numId="47">
    <w:abstractNumId w:val="8"/>
  </w:num>
  <w:num w:numId="48">
    <w:abstractNumId w:val="38"/>
  </w:num>
  <w:num w:numId="49">
    <w:abstractNumId w:val="3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833E8"/>
    <w:rsid w:val="00493C2D"/>
    <w:rsid w:val="00511FE8"/>
    <w:rsid w:val="00697E9E"/>
    <w:rsid w:val="008665DE"/>
    <w:rsid w:val="00910A5C"/>
    <w:rsid w:val="00AA3F65"/>
    <w:rsid w:val="00AB17F2"/>
    <w:rsid w:val="00BC0534"/>
    <w:rsid w:val="00D011E0"/>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48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833E8"/>
    <w:rPr>
      <w:rFonts w:ascii="Times New Roman" w:eastAsia="Times New Roman" w:hAnsi="Times New Roman" w:cs="Times New Roman"/>
      <w:sz w:val="24"/>
      <w:szCs w:val="24"/>
    </w:rPr>
  </w:style>
  <w:style w:type="character" w:customStyle="1" w:styleId="grame">
    <w:name w:val="grame"/>
    <w:basedOn w:val="DefaultParagraphFont"/>
    <w:rsid w:val="00BC0534"/>
  </w:style>
  <w:style w:type="character" w:customStyle="1" w:styleId="spelle">
    <w:name w:val="spelle"/>
    <w:basedOn w:val="DefaultParagraphFont"/>
    <w:rsid w:val="00BC0534"/>
  </w:style>
  <w:style w:type="paragraph" w:styleId="BlockText">
    <w:name w:val="Block Text"/>
    <w:basedOn w:val="Normal"/>
    <w:uiPriority w:val="99"/>
    <w:semiHidden/>
    <w:unhideWhenUsed/>
    <w:rsid w:val="00BC05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216624130">
      <w:bodyDiv w:val="1"/>
      <w:marLeft w:val="0"/>
      <w:marRight w:val="0"/>
      <w:marTop w:val="0"/>
      <w:marBottom w:val="0"/>
      <w:divBdr>
        <w:top w:val="none" w:sz="0" w:space="0" w:color="auto"/>
        <w:left w:val="none" w:sz="0" w:space="0" w:color="auto"/>
        <w:bottom w:val="none" w:sz="0" w:space="0" w:color="auto"/>
        <w:right w:val="none" w:sz="0" w:space="0" w:color="auto"/>
      </w:divBdr>
      <w:divsChild>
        <w:div w:id="2050836700">
          <w:marLeft w:val="0"/>
          <w:marRight w:val="0"/>
          <w:marTop w:val="0"/>
          <w:marBottom w:val="0"/>
          <w:divBdr>
            <w:top w:val="none" w:sz="0" w:space="0" w:color="auto"/>
            <w:left w:val="none" w:sz="0" w:space="0" w:color="auto"/>
            <w:bottom w:val="none" w:sz="0" w:space="0" w:color="auto"/>
            <w:right w:val="none" w:sz="0" w:space="0" w:color="auto"/>
          </w:divBdr>
        </w:div>
        <w:div w:id="1773160245">
          <w:marLeft w:val="0"/>
          <w:marRight w:val="0"/>
          <w:marTop w:val="0"/>
          <w:marBottom w:val="0"/>
          <w:divBdr>
            <w:top w:val="none" w:sz="0" w:space="0" w:color="auto"/>
            <w:left w:val="none" w:sz="0" w:space="0" w:color="auto"/>
            <w:bottom w:val="none" w:sz="0" w:space="0" w:color="auto"/>
            <w:right w:val="none" w:sz="0" w:space="0" w:color="auto"/>
          </w:divBdr>
          <w:divsChild>
            <w:div w:id="1100492953">
              <w:marLeft w:val="0"/>
              <w:marRight w:val="0"/>
              <w:marTop w:val="0"/>
              <w:marBottom w:val="0"/>
              <w:divBdr>
                <w:top w:val="none" w:sz="0" w:space="0" w:color="auto"/>
                <w:left w:val="none" w:sz="0" w:space="0" w:color="auto"/>
                <w:bottom w:val="none" w:sz="0" w:space="0" w:color="auto"/>
                <w:right w:val="none" w:sz="0" w:space="0" w:color="auto"/>
              </w:divBdr>
            </w:div>
            <w:div w:id="1205676488">
              <w:marLeft w:val="0"/>
              <w:marRight w:val="0"/>
              <w:marTop w:val="0"/>
              <w:marBottom w:val="0"/>
              <w:divBdr>
                <w:top w:val="none" w:sz="0" w:space="0" w:color="auto"/>
                <w:left w:val="none" w:sz="0" w:space="0" w:color="auto"/>
                <w:bottom w:val="none" w:sz="0" w:space="0" w:color="auto"/>
                <w:right w:val="none" w:sz="0" w:space="0" w:color="auto"/>
              </w:divBdr>
              <w:divsChild>
                <w:div w:id="19153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608">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6991160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411">
          <w:marLeft w:val="0"/>
          <w:marRight w:val="0"/>
          <w:marTop w:val="0"/>
          <w:marBottom w:val="0"/>
          <w:divBdr>
            <w:top w:val="none" w:sz="0" w:space="0" w:color="auto"/>
            <w:left w:val="none" w:sz="0" w:space="0" w:color="auto"/>
            <w:bottom w:val="none" w:sz="0" w:space="0" w:color="auto"/>
            <w:right w:val="none" w:sz="0" w:space="0" w:color="auto"/>
          </w:divBdr>
        </w:div>
        <w:div w:id="909387387">
          <w:marLeft w:val="0"/>
          <w:marRight w:val="0"/>
          <w:marTop w:val="0"/>
          <w:marBottom w:val="0"/>
          <w:divBdr>
            <w:top w:val="none" w:sz="0" w:space="0" w:color="auto"/>
            <w:left w:val="none" w:sz="0" w:space="0" w:color="auto"/>
            <w:bottom w:val="none" w:sz="0" w:space="0" w:color="auto"/>
            <w:right w:val="none" w:sz="0" w:space="0" w:color="auto"/>
          </w:divBdr>
          <w:divsChild>
            <w:div w:id="1780829828">
              <w:marLeft w:val="0"/>
              <w:marRight w:val="0"/>
              <w:marTop w:val="0"/>
              <w:marBottom w:val="0"/>
              <w:divBdr>
                <w:top w:val="none" w:sz="0" w:space="0" w:color="auto"/>
                <w:left w:val="none" w:sz="0" w:space="0" w:color="auto"/>
                <w:bottom w:val="none" w:sz="0" w:space="0" w:color="auto"/>
                <w:right w:val="none" w:sz="0" w:space="0" w:color="auto"/>
              </w:divBdr>
              <w:divsChild>
                <w:div w:id="873234138">
                  <w:marLeft w:val="0"/>
                  <w:marRight w:val="0"/>
                  <w:marTop w:val="0"/>
                  <w:marBottom w:val="0"/>
                  <w:divBdr>
                    <w:top w:val="none" w:sz="0" w:space="0" w:color="auto"/>
                    <w:left w:val="none" w:sz="0" w:space="0" w:color="auto"/>
                    <w:bottom w:val="none" w:sz="0" w:space="0" w:color="auto"/>
                    <w:right w:val="none" w:sz="0" w:space="0" w:color="auto"/>
                  </w:divBdr>
                </w:div>
                <w:div w:id="60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422">
          <w:marLeft w:val="0"/>
          <w:marRight w:val="0"/>
          <w:marTop w:val="0"/>
          <w:marBottom w:val="0"/>
          <w:divBdr>
            <w:top w:val="none" w:sz="0" w:space="0" w:color="auto"/>
            <w:left w:val="none" w:sz="0" w:space="0" w:color="auto"/>
            <w:bottom w:val="none" w:sz="0" w:space="0" w:color="auto"/>
            <w:right w:val="none" w:sz="0" w:space="0" w:color="auto"/>
          </w:divBdr>
          <w:divsChild>
            <w:div w:id="50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DSPNEW/polls/poll_10/OpinionPollNo10.PDF" TargetMode="Externa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birzeit.edu/cds/opinionpolls/poll10/tables.html" TargetMode="External"/><Relationship Id="rId12" Type="http://schemas.openxmlformats.org/officeDocument/2006/relationships/image" Target="media/image3.gif"/><Relationship Id="rId17" Type="http://schemas.openxmlformats.org/officeDocument/2006/relationships/hyperlink" Target="http://home.birzeit.edu/dsp/" TargetMode="External"/><Relationship Id="rId2" Type="http://schemas.openxmlformats.org/officeDocument/2006/relationships/styles" Target="styles.xml"/><Relationship Id="rId16" Type="http://schemas.openxmlformats.org/officeDocument/2006/relationships/hyperlink" Target="http://home.birzeit.edu/cds/opinionpolls/poll10/analysis.html" TargetMode="External"/><Relationship Id="rId1" Type="http://schemas.openxmlformats.org/officeDocument/2006/relationships/numbering" Target="numbering.xml"/><Relationship Id="rId6" Type="http://schemas.openxmlformats.org/officeDocument/2006/relationships/hyperlink" Target="http://home.birzeit.edu/cds/opinionpolls/poll10/analysis.html" TargetMode="External"/><Relationship Id="rId11" Type="http://schemas.openxmlformats.org/officeDocument/2006/relationships/image" Target="media/image2.gif"/><Relationship Id="rId5" Type="http://schemas.openxmlformats.org/officeDocument/2006/relationships/hyperlink" Target="http://home.birzeit.edu/dsp/opinionpolls/" TargetMode="Externa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birzeit.edu/dsp/arabic/opinionpolls/poll10/analysis.html"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2019-03-05T12:48:00Z</dcterms:created>
  <dcterms:modified xsi:type="dcterms:W3CDTF">2019-03-05T13:21:00Z</dcterms:modified>
</cp:coreProperties>
</file>