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2D" w:rsidRPr="00493C2D" w:rsidRDefault="00493C2D" w:rsidP="00493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93C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Public Opinion Poll # 2</w:t>
      </w:r>
      <w:r w:rsidRPr="00493C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</w:p>
    <w:p w:rsidR="00493C2D" w:rsidRPr="00493C2D" w:rsidRDefault="00493C2D" w:rsidP="00493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Times New Roman" w:eastAsia="Times New Roman" w:hAnsi="Times New Roman" w:cs="Times New Roman"/>
          <w:b/>
          <w:bCs/>
          <w:sz w:val="27"/>
          <w:szCs w:val="27"/>
        </w:rPr>
        <w:t>Living Conditions</w:t>
      </w:r>
    </w:p>
    <w:p w:rsidR="00493C2D" w:rsidRPr="00493C2D" w:rsidRDefault="00493C2D" w:rsidP="00493C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National Dialogue and the Referendum  </w:t>
      </w:r>
    </w:p>
    <w:p w:rsidR="00493C2D" w:rsidRPr="00493C2D" w:rsidRDefault="00493C2D" w:rsidP="00493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Times New Roman" w:eastAsia="Times New Roman" w:hAnsi="Times New Roman" w:cs="Times New Roman"/>
          <w:b/>
          <w:bCs/>
          <w:sz w:val="27"/>
          <w:szCs w:val="27"/>
        </w:rPr>
        <w:t>Evaluation of Institutions</w:t>
      </w:r>
    </w:p>
    <w:p w:rsidR="00493C2D" w:rsidRPr="00493C2D" w:rsidRDefault="00493C2D" w:rsidP="00493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3C2D" w:rsidRPr="00493C2D" w:rsidRDefault="00493C2D" w:rsidP="00493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Arial" w:eastAsia="Times New Roman" w:hAnsi="Arial" w:cs="Arial"/>
          <w:b/>
          <w:bCs/>
          <w:sz w:val="24"/>
          <w:szCs w:val="24"/>
        </w:rPr>
        <w:t xml:space="preserve">[ </w:t>
      </w:r>
      <w:hyperlink r:id="rId4" w:history="1">
        <w:r w:rsidRPr="00493C2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Highlights</w:t>
        </w:r>
      </w:hyperlink>
      <w:r w:rsidRPr="00493C2D">
        <w:rPr>
          <w:rFonts w:ascii="Arial" w:eastAsia="Times New Roman" w:hAnsi="Arial" w:cs="Arial"/>
          <w:b/>
          <w:bCs/>
          <w:sz w:val="24"/>
          <w:szCs w:val="24"/>
        </w:rPr>
        <w:t xml:space="preserve">][ </w:t>
      </w:r>
      <w:hyperlink r:id="rId5" w:history="1">
        <w:r w:rsidRPr="00493C2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Analysis of Results</w:t>
        </w:r>
      </w:hyperlink>
      <w:r w:rsidRPr="00493C2D">
        <w:rPr>
          <w:rFonts w:ascii="Arial" w:eastAsia="Times New Roman" w:hAnsi="Arial" w:cs="Arial"/>
          <w:b/>
          <w:bCs/>
          <w:sz w:val="24"/>
          <w:szCs w:val="24"/>
        </w:rPr>
        <w:t xml:space="preserve"> ][ </w:t>
      </w:r>
      <w:hyperlink r:id="rId6" w:history="1">
        <w:r w:rsidRPr="00493C2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Detailed Results</w:t>
        </w:r>
      </w:hyperlink>
      <w:r w:rsidRPr="00493C2D">
        <w:rPr>
          <w:rFonts w:ascii="Arial" w:eastAsia="Times New Roman" w:hAnsi="Arial" w:cs="Arial"/>
          <w:b/>
          <w:bCs/>
          <w:sz w:val="24"/>
          <w:szCs w:val="24"/>
        </w:rPr>
        <w:t xml:space="preserve"> ][ </w:t>
      </w:r>
      <w:hyperlink r:id="rId7" w:history="1">
        <w:r w:rsidRPr="00493C2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PDF Format</w:t>
        </w:r>
      </w:hyperlink>
      <w:r w:rsidRPr="00493C2D">
        <w:rPr>
          <w:rFonts w:ascii="Arial" w:eastAsia="Times New Roman" w:hAnsi="Arial" w:cs="Arial"/>
          <w:b/>
          <w:bCs/>
          <w:sz w:val="24"/>
          <w:szCs w:val="24"/>
        </w:rPr>
        <w:t xml:space="preserve"> ]</w:t>
      </w:r>
    </w:p>
    <w:p w:rsidR="00493C2D" w:rsidRPr="00493C2D" w:rsidRDefault="00493C2D" w:rsidP="00493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Arial" w:eastAsia="Times New Roman" w:hAnsi="Arial" w:cs="Arial"/>
          <w:b/>
          <w:bCs/>
          <w:sz w:val="24"/>
          <w:szCs w:val="24"/>
        </w:rPr>
        <w:t xml:space="preserve">[ </w:t>
      </w:r>
      <w:hyperlink r:id="rId8" w:history="1">
        <w:r w:rsidRPr="00493C2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Sample Distribution</w:t>
        </w:r>
      </w:hyperlink>
      <w:r w:rsidRPr="00493C2D">
        <w:rPr>
          <w:rFonts w:ascii="Arial" w:eastAsia="Times New Roman" w:hAnsi="Arial" w:cs="Arial"/>
          <w:b/>
          <w:bCs/>
          <w:sz w:val="24"/>
          <w:szCs w:val="24"/>
        </w:rPr>
        <w:t xml:space="preserve"> ][ </w:t>
      </w:r>
      <w:hyperlink r:id="rId9" w:history="1">
        <w:r w:rsidRPr="00493C2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In Arabic</w:t>
        </w:r>
      </w:hyperlink>
      <w:r w:rsidRPr="00493C2D">
        <w:rPr>
          <w:rFonts w:ascii="Arial" w:eastAsia="Times New Roman" w:hAnsi="Arial" w:cs="Arial"/>
          <w:b/>
          <w:bCs/>
          <w:sz w:val="24"/>
          <w:szCs w:val="24"/>
        </w:rPr>
        <w:t xml:space="preserve"> ]</w:t>
      </w:r>
    </w:p>
    <w:p w:rsidR="00493C2D" w:rsidRPr="00493C2D" w:rsidRDefault="00493C2D" w:rsidP="0049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51pt;height:1.5pt" o:hrpct="750" o:hralign="center" o:hrstd="t" o:hr="t" fillcolor="#a0a0a0" stroked="f"/>
        </w:pict>
      </w:r>
    </w:p>
    <w:p w:rsidR="00493C2D" w:rsidRPr="00493C2D" w:rsidRDefault="00493C2D" w:rsidP="0049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Times New Roman" w:eastAsia="Times New Roman" w:hAnsi="Times New Roman" w:cs="Times New Roman"/>
          <w:b/>
          <w:bCs/>
          <w:sz w:val="26"/>
          <w:szCs w:val="26"/>
        </w:rPr>
        <w:t>Analysis of  Results</w:t>
      </w:r>
    </w:p>
    <w:p w:rsidR="00493C2D" w:rsidRPr="00493C2D" w:rsidRDefault="00493C2D" w:rsidP="00493C2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Times New Roman" w:eastAsia="Times New Roman" w:hAnsi="Times New Roman" w:cs="Times New Roman"/>
          <w:b/>
          <w:bCs/>
          <w:sz w:val="24"/>
          <w:szCs w:val="24"/>
        </w:rPr>
        <w:t>1. The Referendum: (Yes) to the Referendum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77% support President Abbas’s call to hold a referendum if political parties do not come to agreement based on the (Prisoners Declaration); 21% do not support such a call.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77% will vote (YES) to the (Prisoners’ Declaration), while 14% will vote (NO).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81% support Abbas’s call to adopt the (Prisoners’ Declaration) as the basis for dialogue and Palestinian future vision.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74% support the view that the PLO is the sole and legitimate representative of the Palestinians.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83% support that Hamas and Islamic Jihad join the PLO.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84% support the establishment of the Palestinian state over the 1967 territory of the West Bank, Jerusalem and Gaza.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83% support that (resistance) be restricted in the Occupied Territories.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94% support a commitment to a democratic political system and regular elections.</w:t>
      </w:r>
    </w:p>
    <w:p w:rsidR="00493C2D" w:rsidRPr="00493C2D" w:rsidRDefault="00493C2D" w:rsidP="00493C2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Times New Roman" w:eastAsia="Times New Roman" w:hAnsi="Times New Roman" w:cs="Times New Roman"/>
          <w:b/>
          <w:bCs/>
          <w:sz w:val="24"/>
          <w:szCs w:val="24"/>
        </w:rPr>
        <w:t>2. Political Support: Decline in support for Hamas; Fateh does not gain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Willingness to vote for Hamas declined from 50% (5 April 2006) to 37% now, bringing its vote to an equal standing with Fateh (also at 37%).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General support for Hamas is, however, at 33%, while support for Fateh is at 36%.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lastRenderedPageBreak/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25% consider themselves as independents, over 2% support PFLP, while all other parties score 1% or less each.</w:t>
      </w:r>
    </w:p>
    <w:p w:rsidR="00493C2D" w:rsidRPr="00493C2D" w:rsidRDefault="00493C2D" w:rsidP="00493C2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Times New Roman" w:eastAsia="Times New Roman" w:hAnsi="Times New Roman" w:cs="Times New Roman"/>
          <w:b/>
          <w:bCs/>
          <w:sz w:val="24"/>
          <w:szCs w:val="24"/>
        </w:rPr>
        <w:t>3. Use of Mosques as Political Platforms: No to using mosques as political platforms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68% oppose the use of mosques as a platform for agenda promotion by the Palestinian Prime Minister, other ministers and political groups; 28% support such action.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41% believe that mosques are used (always or sometimes) to instigate against some Palestinian leaders, while 51% disagree.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58% feel that preachers in mosques have a positive role in confronting the current Palestinian crises, while 32% disagree.</w:t>
      </w:r>
    </w:p>
    <w:p w:rsidR="00493C2D" w:rsidRPr="00493C2D" w:rsidRDefault="00493C2D" w:rsidP="00493C2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Times New Roman" w:eastAsia="Times New Roman" w:hAnsi="Times New Roman" w:cs="Times New Roman"/>
          <w:b/>
          <w:bCs/>
          <w:sz w:val="24"/>
          <w:szCs w:val="24"/>
        </w:rPr>
        <w:t>4. The Role of Media:  More doubt than support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43% believe that the media (Arab satellite stations and local media) play a positive role in confronting the current crises, while 49% find them to have a negative effect.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50% feel that some media outlets instigate against some Palestinian leaders, while 41% feel otherwise.</w:t>
      </w:r>
    </w:p>
    <w:p w:rsidR="00493C2D" w:rsidRPr="00493C2D" w:rsidRDefault="00493C2D" w:rsidP="00493C2D">
      <w:pPr>
        <w:spacing w:after="240" w:line="240" w:lineRule="auto"/>
        <w:ind w:left="360" w:hanging="36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Times New Roman" w:eastAsia="Times New Roman" w:hAnsi="Times New Roman" w:cs="Times New Roman"/>
          <w:b/>
          <w:bCs/>
          <w:sz w:val="24"/>
          <w:szCs w:val="24"/>
        </w:rPr>
        <w:t>5. Evaluation of President and Government: support for leaders; but split over government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48% evaluate the performance of President M. Abbas as (good) – a 5 points increase from (29 April 2006) poll. In addition, 26% feel it is (medium), while 23% evaluate his performance as (weak).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57% evaluate the performance of Prime Minster I. Hanneyeh as (good), with no change from previous poll. In addition, 20% feel it is (medium), while 16% evaluate his performance as (weak).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31% evaluate the overall performance of the current government as (good). In addition, 30% evaluate it as (medium), while 36% evaluate its performance as (weak) – indicating a 9 point increase in negative evaluation from previous poll.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54% believe that the current government distributes the money that it collects through donations in an (unfair) manner, while 31% disagree.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21% support the continuation of the present Hamas – led government, while 64% would like to replace it with a national unity government. Support for a technocratic government is at 12%.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62% feel that the current government is (serious) about its intentions to resolve the current crises, while 32% feel that the government is not serious.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lastRenderedPageBreak/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42% feel that the current government is capable of resolving the current crises, while 48% feel otherwise.</w:t>
      </w:r>
    </w:p>
    <w:p w:rsidR="00493C2D" w:rsidRPr="00493C2D" w:rsidRDefault="00493C2D" w:rsidP="00493C2D">
      <w:pPr>
        <w:spacing w:before="100" w:beforeAutospacing="1" w:after="100" w:afterAutospacing="1" w:line="240" w:lineRule="auto"/>
        <w:ind w:left="360" w:hanging="36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Times New Roman" w:eastAsia="Times New Roman" w:hAnsi="Times New Roman" w:cs="Times New Roman"/>
          <w:b/>
          <w:bCs/>
          <w:sz w:val="24"/>
          <w:szCs w:val="24"/>
        </w:rPr>
        <w:t>6. Funding: Split over government’s handling of funding; but no concessions for money by Hamas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26% believe that the government is handling the funding crisis in an appropriate manner. In addition 32% believe that its handling of the crises is (medium), while 34% believe that it is (inappropriate).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While continued polling show a majority support for a two-state solution, the majority of respondents (61%) will not accept that Hamas recognize Israel now in exchange for funding. In contrast, 31% want Hamas to recognize Israel immediately to continue receiving international funding as in the past.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Only 19% support that money is channeled through the President’s office, and 26% support that an international organization (such as the World Bank) take charge of the disbursement of funding. In contrast, 49% believe that international funding should go directly to the Ministry of Finance without any intermediary.</w:t>
      </w:r>
    </w:p>
    <w:p w:rsidR="00493C2D" w:rsidRPr="00493C2D" w:rsidRDefault="00493C2D" w:rsidP="00493C2D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Times New Roman" w:eastAsia="Times New Roman" w:hAnsi="Times New Roman" w:cs="Times New Roman"/>
          <w:b/>
          <w:bCs/>
          <w:sz w:val="24"/>
          <w:szCs w:val="24"/>
        </w:rPr>
        <w:t>7. Responsibility for the Crises: everyone is to blame; some more than others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95% say that Israel and the United States have a primary role in the exacerbation of the current crises.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76% say that the European Union has a primary role in the exacerbation of the current crises.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59% say that Arab countries have a primary role in the exacerbation of the current crises.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33% blame Fateh and Hamas for having a primary role in the exacerbation of the current crises. In contrast, 20% say that Hamas has a moderate role in the crises, while 30% say that Fateh has a moderate role in the crises. In addition, 47% feel that Hamas didn’t contribute to the crises, while 37% say that Fateh didn’t contribute to the crises.</w:t>
      </w:r>
    </w:p>
    <w:p w:rsidR="00493C2D" w:rsidRPr="00493C2D" w:rsidRDefault="00493C2D" w:rsidP="00493C2D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Times New Roman" w:eastAsia="Times New Roman" w:hAnsi="Times New Roman" w:cs="Times New Roman"/>
          <w:b/>
          <w:bCs/>
          <w:sz w:val="24"/>
          <w:szCs w:val="24"/>
        </w:rPr>
        <w:t>8. Dealing with the Crises: No delivery from anyone!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26% feel that the handling of the current crises by the Ministerial cabinet is (good), while 23% feel that it is (medium) and 43% feel that it is (weak).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23% feel that the handling of the current crises by the Presidential office is (good), while 24% feel that it is (medium) and 46% feel that it is (weak).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21% feel that the handling of the current crises by the Palestinian Legislative Council is (good), while 21% feel that it is (medium) and 46% feel that it is (weak).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lastRenderedPageBreak/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15% feel that the handling of the current crises by the NGOs is (good), while 26% feel that it is (medium) and 41% feel that it is (weak).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14% feel that the handling of the current crises by the private sector and banks is (good), while 24% feel that it is (medium) and 46% feel that it is (weak).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13% feel that the handling of the current crises by the political parties is (good), while 21% feel that it is (medium) and 54% feel that it is (weak).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11% feel that the handling of the current crises by international institutions is (good), while 17% feel that it is (medium) and 58% feel that it is (weak).</w:t>
      </w:r>
    </w:p>
    <w:p w:rsidR="00493C2D" w:rsidRPr="00493C2D" w:rsidRDefault="00493C2D" w:rsidP="00493C2D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Times New Roman" w:eastAsia="Times New Roman" w:hAnsi="Times New Roman" w:cs="Times New Roman"/>
          <w:b/>
          <w:bCs/>
          <w:sz w:val="24"/>
          <w:szCs w:val="24"/>
        </w:rPr>
        <w:t>9. The (Security Force): Conditional Support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 xml:space="preserve">49% support the decision by the Minister of Interior to establish a new (security force); while opposition is at 39%. 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Palestinians are equally split on the issue of establishing a similar force in the West Bank (at 45% on each side).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 xml:space="preserve">Support for the Minister’s decision to establish such a force declines to 35% if it was not agreed upon by President M. Abbas. Opposition to the establishment of the new force reaches 55% if not supported by President Abbas. </w:t>
      </w:r>
    </w:p>
    <w:p w:rsidR="00493C2D" w:rsidRPr="00493C2D" w:rsidRDefault="00493C2D" w:rsidP="00493C2D">
      <w:pPr>
        <w:spacing w:before="100" w:beforeAutospacing="1" w:after="100" w:afterAutospacing="1" w:line="240" w:lineRule="auto"/>
        <w:ind w:left="540" w:hanging="54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Times New Roman" w:eastAsia="Times New Roman" w:hAnsi="Times New Roman" w:cs="Times New Roman"/>
          <w:b/>
          <w:bCs/>
          <w:sz w:val="24"/>
          <w:szCs w:val="24"/>
        </w:rPr>
        <w:t>10. Evaluation of Living Conditions and Prospects for Future: Less security; more economic hardship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41% of the respondents feel less secure than they did before the elections of the new PLC and the establishment of the new government. In contrast, 14% feel more secure, and 46% say that nothing has changed.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Overall, 31% feel secure for themselves and their families, while 24% feel (somewhat secure), and 46% feel (insecure).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63% say that their household’s income level had declined since the latest PLC elections, while less than 2% say that their income has increased. 35% say that their income level didn’t change.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Overall, 16% describe the income level of their families as (good or very good), 36% describe it as (medium). In contrast, 48% describe the economic conditions of their families as (bad or very bad).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64% believe that their families are going through a financial crisis. In addition, 23% believe that their families are going through a financial crisis (to some extent). Only 13% said that they don’t believe that their families are going through such a crisis.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lastRenderedPageBreak/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 xml:space="preserve">36% say that their families are not able to afford medical services, 31% say that they are unable to afford educational expenses, and 33% cannot afford transportation and communication expenses. 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11% cannot afford food expenses, and 9.5% cannot afford rent-related expenses.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17% say that their families have no working breadwinner, while 45% say that they have a breadwinner who works only occasionally. Only 39% have a breadwinner with a stable job.</w:t>
      </w:r>
    </w:p>
    <w:p w:rsidR="00493C2D" w:rsidRPr="00493C2D" w:rsidRDefault="00493C2D" w:rsidP="00493C2D">
      <w:pPr>
        <w:spacing w:after="240" w:line="240" w:lineRule="auto"/>
        <w:ind w:left="907" w:hanging="54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93C2D">
        <w:rPr>
          <w:rFonts w:ascii="Symbol" w:eastAsia="Times New Roman" w:hAnsi="Symbol" w:cs="Times New Roman"/>
          <w:sz w:val="24"/>
          <w:szCs w:val="24"/>
        </w:rPr>
        <w:t></w:t>
      </w:r>
      <w:r w:rsidRPr="00493C2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493C2D">
        <w:rPr>
          <w:rFonts w:ascii="Times New Roman" w:eastAsia="Times New Roman" w:hAnsi="Times New Roman" w:cs="Times New Roman"/>
          <w:sz w:val="24"/>
          <w:szCs w:val="24"/>
        </w:rPr>
        <w:t>Despite all of the previous indicators, 47% continue to say they feel (optimistic) about the future, and 20% say that they are (somewhat optimistic). In contrast, 32% say that they are pessimistic.</w:t>
      </w:r>
    </w:p>
    <w:p w:rsidR="000F5B3B" w:rsidRDefault="000F5B3B">
      <w:bookmarkStart w:id="0" w:name="_GoBack"/>
      <w:bookmarkEnd w:id="0"/>
    </w:p>
    <w:sectPr w:rsidR="000F5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E8"/>
    <w:rsid w:val="000F5B3B"/>
    <w:rsid w:val="00493C2D"/>
    <w:rsid w:val="0051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58992-5DD7-42BA-A765-6A8D55E1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C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27/sampl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cds/opinionpolls/poll27/poll2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27/result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me.birzeit.edu/cds/opinionpolls/poll27/analysi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ome.birzeit.edu/cds/opinionpolls/poll27/highlights.html" TargetMode="External"/><Relationship Id="rId9" Type="http://schemas.openxmlformats.org/officeDocument/2006/relationships/hyperlink" Target="http://home.birzeit.edu/dsp/arabic/opinionpolls/poll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2019-03-05T12:48:00Z</dcterms:created>
  <dcterms:modified xsi:type="dcterms:W3CDTF">2019-03-05T12:48:00Z</dcterms:modified>
</cp:coreProperties>
</file>