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Analysis of Results</w:t>
      </w:r>
      <w:r w:rsidRPr="00151E2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sz w:val="28"/>
          <w:szCs w:val="28"/>
        </w:rPr>
        <w:t>First: Living Conditions</w:t>
      </w:r>
    </w:p>
    <w:p w:rsidR="00151E27" w:rsidRPr="00151E27" w:rsidRDefault="00151E27" w:rsidP="00151E27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51%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described the economic situation of their households as (bad) or (very bad), while 17% described the economic situation of their households as (good) or (very good).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33%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described it as fair. </w:t>
      </w:r>
    </w:p>
    <w:p w:rsidR="00151E27" w:rsidRPr="00151E27" w:rsidRDefault="00151E27" w:rsidP="00151E27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58%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the respondents in Gaza described the economic situation of their households as (bad) or (very bad).</w:t>
      </w:r>
    </w:p>
    <w:p w:rsidR="00151E27" w:rsidRPr="00151E27" w:rsidRDefault="00151E27" w:rsidP="00151E27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42%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stated that they are optimistic about the future, while 23% of respondents stated that their feeling is between optimism and pessimism.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35%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stated that they are pessimistic about the future. </w:t>
      </w:r>
    </w:p>
    <w:p w:rsidR="00151E27" w:rsidRPr="00151E27" w:rsidRDefault="00151E27" w:rsidP="00151E27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At the same time, 77% of respondents think that the Palestinian society is not going in the right direction. This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is compared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with 62% last September.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Second: Assessment of Palestinian leadership</w:t>
      </w:r>
    </w:p>
    <w:p w:rsidR="00151E27" w:rsidRPr="00151E27" w:rsidRDefault="00151E27" w:rsidP="00151E27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>31%</w:t>
      </w:r>
      <w:proofErr w:type="gramEnd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respondents assessed the performance of the Palestinian President Mahmoud Abbas as good, while 30% as fair and 39% as weak.</w:t>
      </w:r>
    </w:p>
    <w:p w:rsidR="00151E27" w:rsidRPr="00151E27" w:rsidRDefault="00151E27" w:rsidP="00151E27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41%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assessed the performance of Prime Minister Ismael Haniyyeh as good, while 29% as fair and 30% as weak.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sz w:val="28"/>
          <w:szCs w:val="28"/>
        </w:rPr>
        <w:t>Third: Attitudes towards the current crisis:</w:t>
      </w:r>
      <w:r w:rsidRPr="00151E27">
        <w:rPr>
          <w:rFonts w:ascii="Times New Roman" w:eastAsia="Times New Roman" w:hAnsi="Times New Roman" w:cs="Times New Roman"/>
          <w:sz w:val="28"/>
          <w:szCs w:val="28"/>
        </w:rPr>
        <w:t xml:space="preserve"> A majority places blame on both Fateh and Hamas for the current crisis; A National Unity Government is perceived as the way out. </w:t>
      </w:r>
    </w:p>
    <w:p w:rsidR="00151E27" w:rsidRPr="00151E27" w:rsidRDefault="00151E27" w:rsidP="00151E27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When asking the respondents about the suggestions to go beyond the current crisis, 48% of respondents see the solution in forming a National Unity Government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the National Reconciliation Document. In comparison, 25% see the solution in conducting a new Presidential and parliamentary election. 15% support maintaining the current government, while 10% of respondents support a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one year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transitional government of technocrats. </w:t>
      </w:r>
    </w:p>
    <w:p w:rsidR="00151E27" w:rsidRPr="00151E27" w:rsidRDefault="00151E27" w:rsidP="00151E27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54%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blame both Fateh and Hamas for the failure of reaching a National Unity Government. In addition, 22% blame Fateh and 17% blame Hamas.</w:t>
      </w:r>
    </w:p>
    <w:p w:rsidR="00151E27" w:rsidRPr="00151E27" w:rsidRDefault="00151E27" w:rsidP="00151E27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50%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of respondents blame both Fateh and Hamas the killings, clashes and assassinations.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16%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blame Hamas and 15% Fateh. In Gaza, 22% blame Hamas while 13% blame Fateh. 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Fourth: </w:t>
      </w:r>
      <w:r w:rsidRPr="00151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Palestinian elections</w:t>
      </w:r>
      <w:r w:rsidRPr="0015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continuous decline in the popularity of Hamas; Fateh’s popularity is consistent. Respondents are divided </w:t>
      </w:r>
      <w:proofErr w:type="gramStart"/>
      <w:r w:rsidRPr="00151E27">
        <w:rPr>
          <w:rFonts w:ascii="Times New Roman" w:eastAsia="Times New Roman" w:hAnsi="Times New Roman" w:cs="Times New Roman"/>
          <w:color w:val="000000"/>
          <w:sz w:val="28"/>
          <w:szCs w:val="28"/>
        </w:rPr>
        <w:t>in regard to</w:t>
      </w:r>
      <w:proofErr w:type="gramEnd"/>
      <w:r w:rsidRPr="0015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Palestinian President call for early Presidential and Parliamentary elections.</w:t>
      </w:r>
    </w:p>
    <w:p w:rsidR="00151E27" w:rsidRPr="00151E27" w:rsidRDefault="00151E27" w:rsidP="00151E27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Respondents were divided </w:t>
      </w:r>
      <w:proofErr w:type="gramStart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>in regard to</w:t>
      </w:r>
      <w:proofErr w:type="gramEnd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call of the Palestinian President Mahmoud Abbas to conduct early elections; 47% of respondents support the call, while 46% oppose it. </w:t>
      </w:r>
    </w:p>
    <w:p w:rsidR="00151E27" w:rsidRPr="00151E27" w:rsidRDefault="00151E27" w:rsidP="00151E27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64% of respondents state that they will participate in the Presidential elections in case it </w:t>
      </w:r>
      <w:proofErr w:type="gramStart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>was conducted</w:t>
      </w:r>
      <w:proofErr w:type="gramEnd"/>
      <w:r w:rsidRPr="0015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  <w:u w:val="single"/>
        </w:rPr>
        <w:t>Presidential Elections: Different Scenarios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151E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51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First Scenario: Competition between 12 Palestinian personalities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When asking the respondents </w:t>
      </w:r>
      <w:r w:rsidRPr="00151E27">
        <w:rPr>
          <w:rFonts w:ascii="Times New Roman" w:eastAsia="Times New Roman" w:hAnsi="Times New Roman" w:cs="Times New Roman"/>
          <w:sz w:val="24"/>
          <w:szCs w:val="24"/>
          <w:u w:val="single"/>
        </w:rPr>
        <w:t>who expressed their willingness to participate</w:t>
      </w: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in presidential elections, the results were as follows: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Symbol" w:eastAsia="Times New Roman" w:hAnsi="Symbol" w:cs="Times New Roman"/>
          <w:sz w:val="24"/>
          <w:szCs w:val="24"/>
        </w:rPr>
        <w:t></w:t>
      </w:r>
      <w:r w:rsidRPr="00151E2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total, 4 Fateh personalities received 43% of the vote, while 4 Hamas personalities received 28%.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% voted for independent and leftists personalities.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Symbol" w:eastAsia="Times New Roman" w:hAnsi="Symbol" w:cs="Times New Roman"/>
          <w:sz w:val="24"/>
          <w:szCs w:val="24"/>
        </w:rPr>
        <w:t></w:t>
      </w:r>
      <w:r w:rsidRPr="00151E2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results for the different personalities were as follows: Ismael Haniyyeh (Hamas) received 24%, Mahmoud Abbas and Marwan Barghouthi (Fateh) received 18% each, Mohammad Dahlan (Fateh) received 7%, Mustafa Barghouthi (Mubadara) received 5%, Khalid Mashal (Hamas) received 3%, Saeb Arekat (Fateh) and Ahmad Sadaat (PFLP) received 2% each. The rest of the candidates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get significant percentages.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Symbol" w:eastAsia="Times New Roman" w:hAnsi="Symbol" w:cs="Times New Roman"/>
          <w:sz w:val="24"/>
          <w:szCs w:val="24"/>
        </w:rPr>
        <w:t></w:t>
      </w:r>
      <w:r w:rsidRPr="00151E2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1E27">
        <w:rPr>
          <w:rFonts w:ascii="Times New Roman" w:eastAsia="Times New Roman" w:hAnsi="Times New Roman" w:cs="Times New Roman"/>
          <w:sz w:val="24"/>
          <w:szCs w:val="24"/>
        </w:rPr>
        <w:t>17% of respondents stated that they are (undecided)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151E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51E27">
        <w:rPr>
          <w:rFonts w:ascii="Times New Roman" w:eastAsia="Times New Roman" w:hAnsi="Times New Roman" w:cs="Times New Roman"/>
          <w:i/>
          <w:iCs/>
          <w:sz w:val="28"/>
          <w:szCs w:val="28"/>
        </w:rPr>
        <w:t>In case of a two-way Presidential race, the results were as follows:</w:t>
      </w:r>
    </w:p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Second Scenario: Abbas wins over Mashal (18 points difference)</w:t>
      </w:r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794"/>
      </w:tblGrid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lang w:bidi="ar-JO"/>
              </w:rPr>
              <w:t>50%</w:t>
            </w:r>
          </w:p>
        </w:tc>
        <w:tc>
          <w:tcPr>
            <w:tcW w:w="2794" w:type="dxa"/>
            <w:tcBorders>
              <w:top w:val="outset" w:sz="6" w:space="0" w:color="000000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Mahmoud Abbas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lang w:bidi="ar-JO"/>
              </w:rPr>
              <w:t>32%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Khalid Mashal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lang w:bidi="ar-JO"/>
              </w:rPr>
              <w:t>18%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Undecided</w:t>
            </w:r>
          </w:p>
        </w:tc>
      </w:tr>
    </w:tbl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Third Scenario: Abbas wins over Haniyyeh (8 points difference)</w:t>
      </w:r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880"/>
      </w:tblGrid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t>47%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Mahmoud Abbas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t>39%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Ismael Haniyyeh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t>14%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Undecided</w:t>
            </w:r>
          </w:p>
        </w:tc>
      </w:tr>
    </w:tbl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Fourth Scenario: Marwan Barghouthi wins over Ismael Haniyyeh (15 points difference)</w:t>
      </w:r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779"/>
      </w:tblGrid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lastRenderedPageBreak/>
              <w:t>51%</w:t>
            </w:r>
          </w:p>
        </w:tc>
        <w:tc>
          <w:tcPr>
            <w:tcW w:w="2779" w:type="dxa"/>
            <w:tcBorders>
              <w:top w:val="outset" w:sz="6" w:space="0" w:color="000000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Marwan Barghouthi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t>36%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Ismael Haniyyeh</w:t>
            </w:r>
          </w:p>
        </w:tc>
      </w:tr>
      <w:tr w:rsidR="00151E27" w:rsidRPr="00151E27" w:rsidTr="00151E27">
        <w:trPr>
          <w:jc w:val="right"/>
        </w:trPr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27">
              <w:rPr>
                <w:rFonts w:ascii="Traditional Arabic" w:eastAsia="Times New Roman" w:hAnsi="Traditional Arabic" w:cs="Times New Roman"/>
                <w:sz w:val="28"/>
                <w:szCs w:val="28"/>
                <w:rtl/>
                <w:lang w:bidi="ar-JO"/>
              </w:rPr>
              <w:t>13%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51E27" w:rsidRPr="00151E27" w:rsidRDefault="00151E27" w:rsidP="00151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1E27">
              <w:rPr>
                <w:rFonts w:ascii="Times New Roman" w:eastAsia="Times New Roman" w:hAnsi="Times New Roman" w:cs="Times New Roman"/>
                <w:sz w:val="28"/>
                <w:szCs w:val="28"/>
              </w:rPr>
              <w:t>Undecided</w:t>
            </w:r>
          </w:p>
        </w:tc>
      </w:tr>
    </w:tbl>
    <w:p w:rsidR="00151E27" w:rsidRPr="00151E27" w:rsidRDefault="00151E27" w:rsidP="0015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Parliamentary Elections: Fateh (43%), Hamas (31%), Others (15%) </w:t>
      </w:r>
    </w:p>
    <w:p w:rsidR="00151E27" w:rsidRPr="00151E27" w:rsidRDefault="00151E27" w:rsidP="00151E27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66% of respondents stated that they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participate in Parliamentary elections in case they took place now. 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Scenario 1: All respondents</w:t>
      </w:r>
    </w:p>
    <w:p w:rsidR="00151E27" w:rsidRPr="00151E27" w:rsidRDefault="00151E27" w:rsidP="00151E27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In case new parliamentary elections took place (today, with the same electoral lists of the last parliamentary elections, and </w:t>
      </w:r>
      <w:r w:rsidRPr="00151E27">
        <w:rPr>
          <w:rFonts w:ascii="Times New Roman" w:eastAsia="Times New Roman" w:hAnsi="Times New Roman" w:cs="Times New Roman"/>
          <w:sz w:val="24"/>
          <w:szCs w:val="24"/>
          <w:u w:val="single"/>
        </w:rPr>
        <w:t>in consideration of all respondents regardless of willingness to participate)</w:t>
      </w: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, the results were as follows: Fateh receives 34% of votes, same as its results of last September. Hamas receives 24%. The results of the different opinion polls indicate significant decline in the percentage of Hamas voters; the percentage was 50% last April, 37% in June, and 31% in September. The decline in the popularity of Hamas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didn’t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imply any increase in the popularity of other parties. Besides, the election results will greatly depend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on how the (undecided) will vote and the nature of voters who vote on elections day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>. Moreover, this analysis applies only to the (proportional national lists) and not on the level of districts.</w:t>
      </w:r>
    </w:p>
    <w:p w:rsidR="00151E27" w:rsidRPr="00151E27" w:rsidRDefault="00151E27" w:rsidP="00151E27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>In the same context, the other parties get approximately 8%.</w:t>
      </w:r>
    </w:p>
    <w:p w:rsidR="00151E27" w:rsidRPr="00151E27" w:rsidRDefault="00151E27" w:rsidP="00151E27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The percentage of respondents who said that they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not participate in elections reaches 21%, and the (undecided) comprise about 12%.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Scenario 2: Only those who will participate in the election</w:t>
      </w:r>
    </w:p>
    <w:p w:rsidR="00151E27" w:rsidRPr="00151E27" w:rsidRDefault="00151E27" w:rsidP="00151E27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If we however calculate the vote on the basis of those who declared that thy will vote, Fateh receives 43% of votes and thus maintaining the percentage it obtained in last elections, while Hamas receives 31% (13 points less than last January). The other electoral lists receive 11%. </w:t>
      </w:r>
    </w:p>
    <w:p w:rsidR="00151E27" w:rsidRPr="00151E27" w:rsidRDefault="00151E27" w:rsidP="00151E27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>The (undecided) comprise 16%.</w:t>
      </w:r>
    </w:p>
    <w:p w:rsidR="00151E27" w:rsidRPr="00151E27" w:rsidRDefault="00151E27" w:rsidP="00151E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8"/>
          <w:szCs w:val="28"/>
        </w:rPr>
        <w:t>Scenario 3: A Three – way race</w:t>
      </w:r>
    </w:p>
    <w:p w:rsidR="00151E27" w:rsidRPr="00151E27" w:rsidRDefault="00151E27" w:rsidP="00151E27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In case three electoral lists compete for the parliamentary elections, the results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didn't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differ that much but for a unified list from the leftists and the independents; Fateh still receives 43%, Hamas receives 29%, while a unified list of leftists and independents receives 15%.</w:t>
      </w:r>
    </w:p>
    <w:p w:rsidR="00151E27" w:rsidRPr="00151E27" w:rsidRDefault="00151E27" w:rsidP="00151E27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The percentage of those who </w:t>
      </w:r>
      <w:proofErr w:type="gramStart"/>
      <w:r w:rsidRPr="00151E27">
        <w:rPr>
          <w:rFonts w:ascii="Times New Roman" w:eastAsia="Times New Roman" w:hAnsi="Times New Roman" w:cs="Times New Roman"/>
          <w:sz w:val="24"/>
          <w:szCs w:val="24"/>
        </w:rPr>
        <w:t>didn't</w:t>
      </w:r>
      <w:proofErr w:type="gramEnd"/>
      <w:r w:rsidRPr="00151E27">
        <w:rPr>
          <w:rFonts w:ascii="Times New Roman" w:eastAsia="Times New Roman" w:hAnsi="Times New Roman" w:cs="Times New Roman"/>
          <w:sz w:val="24"/>
          <w:szCs w:val="24"/>
        </w:rPr>
        <w:t xml:space="preserve"> decide to whom to vote reaches 12%.</w:t>
      </w:r>
    </w:p>
    <w:p w:rsidR="006534A7" w:rsidRPr="00151E27" w:rsidRDefault="006534A7" w:rsidP="00151E27">
      <w:bookmarkStart w:id="0" w:name="_GoBack"/>
      <w:bookmarkEnd w:id="0"/>
    </w:p>
    <w:sectPr w:rsidR="006534A7" w:rsidRPr="0015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27"/>
    <w:multiLevelType w:val="multilevel"/>
    <w:tmpl w:val="995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077C3"/>
    <w:multiLevelType w:val="multilevel"/>
    <w:tmpl w:val="9F5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85C24"/>
    <w:multiLevelType w:val="multilevel"/>
    <w:tmpl w:val="4D9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950E7"/>
    <w:multiLevelType w:val="multilevel"/>
    <w:tmpl w:val="ED9C2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55BF1"/>
    <w:multiLevelType w:val="multilevel"/>
    <w:tmpl w:val="DE2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704EB"/>
    <w:multiLevelType w:val="multilevel"/>
    <w:tmpl w:val="CC9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6123F"/>
    <w:multiLevelType w:val="multilevel"/>
    <w:tmpl w:val="60E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67726"/>
    <w:multiLevelType w:val="multilevel"/>
    <w:tmpl w:val="6A524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11D11"/>
    <w:multiLevelType w:val="multilevel"/>
    <w:tmpl w:val="7D1AB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E4E63"/>
    <w:multiLevelType w:val="multilevel"/>
    <w:tmpl w:val="D6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866F5"/>
    <w:multiLevelType w:val="multilevel"/>
    <w:tmpl w:val="2B0A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48638D"/>
    <w:multiLevelType w:val="multilevel"/>
    <w:tmpl w:val="EC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41FE"/>
    <w:multiLevelType w:val="multilevel"/>
    <w:tmpl w:val="F168A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06EAC"/>
    <w:multiLevelType w:val="multilevel"/>
    <w:tmpl w:val="F440E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A48E0"/>
    <w:multiLevelType w:val="multilevel"/>
    <w:tmpl w:val="130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C6399"/>
    <w:multiLevelType w:val="multilevel"/>
    <w:tmpl w:val="6F9E9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F510B"/>
    <w:multiLevelType w:val="multilevel"/>
    <w:tmpl w:val="C99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7561D7"/>
    <w:multiLevelType w:val="multilevel"/>
    <w:tmpl w:val="6DEA1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37F05"/>
    <w:multiLevelType w:val="multilevel"/>
    <w:tmpl w:val="4AA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62404"/>
    <w:multiLevelType w:val="multilevel"/>
    <w:tmpl w:val="E9945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4370B"/>
    <w:multiLevelType w:val="multilevel"/>
    <w:tmpl w:val="BE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983033"/>
    <w:multiLevelType w:val="multilevel"/>
    <w:tmpl w:val="8D2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753E30"/>
    <w:multiLevelType w:val="multilevel"/>
    <w:tmpl w:val="F8C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9F0407"/>
    <w:multiLevelType w:val="multilevel"/>
    <w:tmpl w:val="4E7C6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E5181"/>
    <w:multiLevelType w:val="multilevel"/>
    <w:tmpl w:val="16C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C91E4F"/>
    <w:multiLevelType w:val="multilevel"/>
    <w:tmpl w:val="004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19"/>
  </w:num>
  <w:num w:numId="5">
    <w:abstractNumId w:val="26"/>
  </w:num>
  <w:num w:numId="6">
    <w:abstractNumId w:val="8"/>
  </w:num>
  <w:num w:numId="7">
    <w:abstractNumId w:val="2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22"/>
  </w:num>
  <w:num w:numId="18">
    <w:abstractNumId w:val="16"/>
  </w:num>
  <w:num w:numId="19">
    <w:abstractNumId w:val="1"/>
  </w:num>
  <w:num w:numId="20">
    <w:abstractNumId w:val="11"/>
  </w:num>
  <w:num w:numId="21">
    <w:abstractNumId w:val="4"/>
  </w:num>
  <w:num w:numId="22">
    <w:abstractNumId w:val="10"/>
  </w:num>
  <w:num w:numId="23">
    <w:abstractNumId w:val="15"/>
  </w:num>
  <w:num w:numId="24">
    <w:abstractNumId w:val="9"/>
  </w:num>
  <w:num w:numId="25">
    <w:abstractNumId w:val="20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51E27"/>
    <w:rsid w:val="002E5441"/>
    <w:rsid w:val="00515650"/>
    <w:rsid w:val="006534A7"/>
    <w:rsid w:val="008E24F3"/>
    <w:rsid w:val="00934AB4"/>
    <w:rsid w:val="009914DB"/>
    <w:rsid w:val="00D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2019-03-05T12:26:00Z</dcterms:created>
  <dcterms:modified xsi:type="dcterms:W3CDTF">2019-03-05T12:32:00Z</dcterms:modified>
</cp:coreProperties>
</file>